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CA3" w:rsidRDefault="00707E53" w:rsidP="005E3CA3">
      <w:r>
        <w:t>Last updated:  June 2020</w:t>
      </w:r>
    </w:p>
    <w:p w:rsidR="005E3CA3" w:rsidRDefault="005E3CA3" w:rsidP="005E3CA3"/>
    <w:p w:rsidR="009A09AB" w:rsidRPr="005E3CA3" w:rsidRDefault="009A09AB" w:rsidP="009A09AB">
      <w:pPr>
        <w:spacing w:after="0" w:line="240" w:lineRule="auto"/>
        <w:jc w:val="center"/>
        <w:rPr>
          <w:sz w:val="24"/>
          <w:szCs w:val="24"/>
        </w:rPr>
      </w:pPr>
      <w:r w:rsidRPr="005E3CA3">
        <w:rPr>
          <w:sz w:val="24"/>
          <w:szCs w:val="24"/>
        </w:rPr>
        <w:t>Fairleigh Dickinson University</w:t>
      </w:r>
    </w:p>
    <w:p w:rsidR="009A09AB" w:rsidRPr="005E3CA3" w:rsidRDefault="009A09AB" w:rsidP="009A09AB">
      <w:pPr>
        <w:spacing w:after="0" w:line="240" w:lineRule="auto"/>
        <w:jc w:val="center"/>
        <w:rPr>
          <w:sz w:val="24"/>
          <w:szCs w:val="24"/>
          <w:u w:val="single"/>
        </w:rPr>
      </w:pPr>
      <w:r w:rsidRPr="005E3CA3">
        <w:rPr>
          <w:sz w:val="24"/>
          <w:szCs w:val="24"/>
          <w:u w:val="single"/>
        </w:rPr>
        <w:t>Enterprise Risk Management Initiative</w:t>
      </w:r>
    </w:p>
    <w:p w:rsidR="009A09AB" w:rsidRPr="005E3CA3" w:rsidRDefault="009A09AB" w:rsidP="009A09AB">
      <w:pPr>
        <w:spacing w:after="0" w:line="240" w:lineRule="auto"/>
        <w:rPr>
          <w:sz w:val="24"/>
          <w:szCs w:val="24"/>
          <w:u w:val="single"/>
        </w:rPr>
      </w:pPr>
    </w:p>
    <w:p w:rsidR="005479A0" w:rsidRPr="005E3CA3" w:rsidRDefault="009A09AB" w:rsidP="009A09AB">
      <w:p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</w:rPr>
        <w:tab/>
        <w:t xml:space="preserve">This memorandum outlines </w:t>
      </w:r>
      <w:r w:rsidR="00707E53">
        <w:rPr>
          <w:sz w:val="24"/>
          <w:szCs w:val="24"/>
        </w:rPr>
        <w:t xml:space="preserve">a revised </w:t>
      </w:r>
      <w:r w:rsidRPr="005E3CA3">
        <w:rPr>
          <w:sz w:val="24"/>
          <w:szCs w:val="24"/>
        </w:rPr>
        <w:t>Enterprise Risk Management (ERM) initiative under the overall direction of FDU’s Chief Compliance Officer</w:t>
      </w:r>
      <w:r w:rsidR="003322E0" w:rsidRPr="005E3CA3">
        <w:rPr>
          <w:sz w:val="24"/>
          <w:szCs w:val="24"/>
        </w:rPr>
        <w:t xml:space="preserve">, working in close collaboration with </w:t>
      </w:r>
      <w:r w:rsidR="00DA0964" w:rsidRPr="005E3CA3">
        <w:rPr>
          <w:sz w:val="24"/>
          <w:szCs w:val="24"/>
        </w:rPr>
        <w:t xml:space="preserve">the </w:t>
      </w:r>
      <w:r w:rsidR="003322E0" w:rsidRPr="005E3CA3">
        <w:rPr>
          <w:sz w:val="24"/>
          <w:szCs w:val="24"/>
        </w:rPr>
        <w:t>Director of Internal Audit</w:t>
      </w:r>
      <w:r w:rsidR="003170AF">
        <w:rPr>
          <w:sz w:val="24"/>
          <w:szCs w:val="24"/>
        </w:rPr>
        <w:t xml:space="preserve">, </w:t>
      </w:r>
      <w:r w:rsidR="00F5428B" w:rsidRPr="005E3CA3">
        <w:rPr>
          <w:sz w:val="24"/>
          <w:szCs w:val="24"/>
        </w:rPr>
        <w:t>University</w:t>
      </w:r>
      <w:r w:rsidR="003322E0" w:rsidRPr="005E3CA3">
        <w:rPr>
          <w:sz w:val="24"/>
          <w:szCs w:val="24"/>
        </w:rPr>
        <w:t xml:space="preserve"> Risk </w:t>
      </w:r>
      <w:r w:rsidR="00F5428B" w:rsidRPr="005E3CA3">
        <w:rPr>
          <w:sz w:val="24"/>
          <w:szCs w:val="24"/>
        </w:rPr>
        <w:t>Manager</w:t>
      </w:r>
      <w:r w:rsidR="003170AF">
        <w:rPr>
          <w:sz w:val="24"/>
          <w:szCs w:val="24"/>
        </w:rPr>
        <w:t xml:space="preserve">, and other senior administrators.  </w:t>
      </w:r>
    </w:p>
    <w:p w:rsidR="005479A0" w:rsidRPr="005E3CA3" w:rsidRDefault="005479A0" w:rsidP="009A09AB">
      <w:pPr>
        <w:spacing w:after="0" w:line="240" w:lineRule="auto"/>
        <w:rPr>
          <w:sz w:val="24"/>
          <w:szCs w:val="24"/>
        </w:rPr>
      </w:pPr>
    </w:p>
    <w:p w:rsidR="00DA0964" w:rsidRPr="005E3CA3" w:rsidRDefault="00FE780E" w:rsidP="009A09AB">
      <w:p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</w:rPr>
        <w:tab/>
        <w:t xml:space="preserve">FDU’s </w:t>
      </w:r>
      <w:r w:rsidR="005479A0" w:rsidRPr="005E3CA3">
        <w:rPr>
          <w:sz w:val="24"/>
          <w:szCs w:val="24"/>
        </w:rPr>
        <w:t xml:space="preserve"> ERM initiative </w:t>
      </w:r>
      <w:r w:rsidR="004744DF" w:rsidRPr="005E3CA3">
        <w:rPr>
          <w:sz w:val="24"/>
          <w:szCs w:val="24"/>
        </w:rPr>
        <w:t xml:space="preserve">is designed to </w:t>
      </w:r>
      <w:r w:rsidRPr="005E3CA3">
        <w:rPr>
          <w:sz w:val="24"/>
          <w:szCs w:val="24"/>
        </w:rPr>
        <w:t>focus</w:t>
      </w:r>
      <w:r w:rsidR="005479A0" w:rsidRPr="005E3CA3">
        <w:rPr>
          <w:sz w:val="24"/>
          <w:szCs w:val="24"/>
        </w:rPr>
        <w:t xml:space="preserve"> </w:t>
      </w:r>
      <w:r w:rsidR="00346E44" w:rsidRPr="005E3CA3">
        <w:rPr>
          <w:sz w:val="24"/>
          <w:szCs w:val="24"/>
        </w:rPr>
        <w:t xml:space="preserve">not only </w:t>
      </w:r>
      <w:r w:rsidR="005479A0" w:rsidRPr="005E3CA3">
        <w:rPr>
          <w:sz w:val="24"/>
          <w:szCs w:val="24"/>
        </w:rPr>
        <w:t>on risks, but also opportunities</w:t>
      </w:r>
      <w:r w:rsidR="00AA4F07" w:rsidRPr="005E3CA3">
        <w:rPr>
          <w:sz w:val="24"/>
          <w:szCs w:val="24"/>
        </w:rPr>
        <w:t xml:space="preserve">.  Our goal is to work </w:t>
      </w:r>
      <w:r w:rsidR="004744DF" w:rsidRPr="005E3CA3">
        <w:rPr>
          <w:sz w:val="24"/>
          <w:szCs w:val="24"/>
        </w:rPr>
        <w:t>with senior management and every level of the University</w:t>
      </w:r>
      <w:r w:rsidR="00AA4F07" w:rsidRPr="005E3CA3">
        <w:rPr>
          <w:sz w:val="24"/>
          <w:szCs w:val="24"/>
        </w:rPr>
        <w:t xml:space="preserve"> community</w:t>
      </w:r>
      <w:r w:rsidR="004744DF" w:rsidRPr="005E3CA3">
        <w:rPr>
          <w:sz w:val="24"/>
          <w:szCs w:val="24"/>
        </w:rPr>
        <w:t xml:space="preserve"> to </w:t>
      </w:r>
      <w:r w:rsidR="00E141DF" w:rsidRPr="005E3CA3">
        <w:rPr>
          <w:sz w:val="24"/>
          <w:szCs w:val="24"/>
        </w:rPr>
        <w:t xml:space="preserve">strengthen the processes, infrastructure, and knowledge resources that provide the framework </w:t>
      </w:r>
      <w:r w:rsidR="00346E44" w:rsidRPr="005E3CA3">
        <w:rPr>
          <w:sz w:val="24"/>
          <w:szCs w:val="24"/>
        </w:rPr>
        <w:t>for</w:t>
      </w:r>
      <w:r w:rsidR="00AA4F07" w:rsidRPr="005E3CA3">
        <w:rPr>
          <w:sz w:val="24"/>
          <w:szCs w:val="24"/>
        </w:rPr>
        <w:t xml:space="preserve"> innovation, operational improvements, and</w:t>
      </w:r>
      <w:r w:rsidR="00F564D7" w:rsidRPr="005E3CA3">
        <w:rPr>
          <w:sz w:val="24"/>
          <w:szCs w:val="24"/>
        </w:rPr>
        <w:t xml:space="preserve"> possible</w:t>
      </w:r>
      <w:r w:rsidR="00AA4F07" w:rsidRPr="005E3CA3">
        <w:rPr>
          <w:sz w:val="24"/>
          <w:szCs w:val="24"/>
        </w:rPr>
        <w:t xml:space="preserve"> growth in</w:t>
      </w:r>
      <w:r w:rsidR="00DC1064" w:rsidRPr="005E3CA3">
        <w:rPr>
          <w:sz w:val="24"/>
          <w:szCs w:val="24"/>
        </w:rPr>
        <w:t xml:space="preserve"> such key areas as </w:t>
      </w:r>
      <w:r w:rsidR="00AA4F07" w:rsidRPr="005E3CA3">
        <w:rPr>
          <w:sz w:val="24"/>
          <w:szCs w:val="24"/>
        </w:rPr>
        <w:t xml:space="preserve">external collaborations and </w:t>
      </w:r>
      <w:r w:rsidR="00DC1064" w:rsidRPr="005E3CA3">
        <w:rPr>
          <w:sz w:val="24"/>
          <w:szCs w:val="24"/>
        </w:rPr>
        <w:t xml:space="preserve">sponsored </w:t>
      </w:r>
      <w:r w:rsidR="00AA4F07" w:rsidRPr="005E3CA3">
        <w:rPr>
          <w:sz w:val="24"/>
          <w:szCs w:val="24"/>
        </w:rPr>
        <w:t xml:space="preserve">research.  </w:t>
      </w:r>
      <w:r w:rsidR="00CD7876">
        <w:rPr>
          <w:sz w:val="24"/>
          <w:szCs w:val="24"/>
        </w:rPr>
        <w:t>T</w:t>
      </w:r>
      <w:r w:rsidRPr="005E3CA3">
        <w:rPr>
          <w:sz w:val="24"/>
          <w:szCs w:val="24"/>
        </w:rPr>
        <w:t xml:space="preserve">he new </w:t>
      </w:r>
      <w:r w:rsidR="009134FC" w:rsidRPr="005E3CA3">
        <w:rPr>
          <w:sz w:val="24"/>
          <w:szCs w:val="24"/>
        </w:rPr>
        <w:t xml:space="preserve">ERM </w:t>
      </w:r>
      <w:r w:rsidR="00AA4F07" w:rsidRPr="005E3CA3">
        <w:rPr>
          <w:sz w:val="24"/>
          <w:szCs w:val="24"/>
        </w:rPr>
        <w:t>p</w:t>
      </w:r>
      <w:r w:rsidRPr="005E3CA3">
        <w:rPr>
          <w:sz w:val="24"/>
          <w:szCs w:val="24"/>
        </w:rPr>
        <w:t>rogram</w:t>
      </w:r>
      <w:r w:rsidR="00CD7876">
        <w:rPr>
          <w:sz w:val="24"/>
          <w:szCs w:val="24"/>
        </w:rPr>
        <w:t xml:space="preserve"> further</w:t>
      </w:r>
      <w:r w:rsidRPr="005E3CA3">
        <w:rPr>
          <w:sz w:val="24"/>
          <w:szCs w:val="24"/>
        </w:rPr>
        <w:t xml:space="preserve"> </w:t>
      </w:r>
      <w:r w:rsidR="00346E44" w:rsidRPr="005E3CA3">
        <w:rPr>
          <w:sz w:val="24"/>
          <w:szCs w:val="24"/>
        </w:rPr>
        <w:t>aims to</w:t>
      </w:r>
      <w:r w:rsidRPr="005E3CA3">
        <w:rPr>
          <w:sz w:val="24"/>
          <w:szCs w:val="24"/>
        </w:rPr>
        <w:t xml:space="preserve"> promote</w:t>
      </w:r>
      <w:r w:rsidR="009134FC" w:rsidRPr="005E3CA3">
        <w:rPr>
          <w:sz w:val="24"/>
          <w:szCs w:val="24"/>
        </w:rPr>
        <w:t xml:space="preserve"> an ongoing</w:t>
      </w:r>
      <w:r w:rsidR="00AA4F07" w:rsidRPr="005E3CA3">
        <w:rPr>
          <w:sz w:val="24"/>
          <w:szCs w:val="24"/>
        </w:rPr>
        <w:t xml:space="preserve"> </w:t>
      </w:r>
      <w:r w:rsidR="009134FC" w:rsidRPr="005E3CA3">
        <w:rPr>
          <w:sz w:val="24"/>
          <w:szCs w:val="24"/>
        </w:rPr>
        <w:t>risk-aware</w:t>
      </w:r>
      <w:r w:rsidR="00802DF2">
        <w:rPr>
          <w:sz w:val="24"/>
          <w:szCs w:val="24"/>
        </w:rPr>
        <w:t xml:space="preserve"> </w:t>
      </w:r>
      <w:r w:rsidR="004744DF" w:rsidRPr="005E3CA3">
        <w:rPr>
          <w:sz w:val="24"/>
          <w:szCs w:val="24"/>
        </w:rPr>
        <w:t xml:space="preserve">and knowledge-sharing culture </w:t>
      </w:r>
      <w:r w:rsidR="009134FC" w:rsidRPr="005E3CA3">
        <w:rPr>
          <w:sz w:val="24"/>
          <w:szCs w:val="24"/>
        </w:rPr>
        <w:t>across the University</w:t>
      </w:r>
      <w:r w:rsidR="00851602">
        <w:rPr>
          <w:sz w:val="24"/>
          <w:szCs w:val="24"/>
        </w:rPr>
        <w:t>,</w:t>
      </w:r>
      <w:r w:rsidR="00DB4668">
        <w:rPr>
          <w:sz w:val="24"/>
          <w:szCs w:val="24"/>
        </w:rPr>
        <w:t xml:space="preserve"> </w:t>
      </w:r>
      <w:r w:rsidR="0003123F">
        <w:rPr>
          <w:sz w:val="24"/>
          <w:szCs w:val="24"/>
        </w:rPr>
        <w:t>to</w:t>
      </w:r>
      <w:r w:rsidR="00DB4668">
        <w:rPr>
          <w:sz w:val="24"/>
          <w:szCs w:val="24"/>
        </w:rPr>
        <w:t xml:space="preserve"> provide the means for </w:t>
      </w:r>
      <w:r w:rsidR="0003123F">
        <w:rPr>
          <w:sz w:val="24"/>
          <w:szCs w:val="24"/>
        </w:rPr>
        <w:t xml:space="preserve">a </w:t>
      </w:r>
      <w:r w:rsidR="002D6F69">
        <w:rPr>
          <w:sz w:val="24"/>
          <w:szCs w:val="24"/>
        </w:rPr>
        <w:t xml:space="preserve">centralized </w:t>
      </w:r>
      <w:r w:rsidR="0003123F">
        <w:rPr>
          <w:sz w:val="24"/>
          <w:szCs w:val="24"/>
        </w:rPr>
        <w:t>depository of information that can be reported and acted upon at senior levels</w:t>
      </w:r>
      <w:r w:rsidR="00DB4668">
        <w:rPr>
          <w:sz w:val="24"/>
          <w:szCs w:val="24"/>
        </w:rPr>
        <w:t>,</w:t>
      </w:r>
      <w:r w:rsidR="0003123F">
        <w:rPr>
          <w:sz w:val="24"/>
          <w:szCs w:val="24"/>
        </w:rPr>
        <w:t xml:space="preserve"> a</w:t>
      </w:r>
      <w:r w:rsidR="00DB4668">
        <w:rPr>
          <w:sz w:val="24"/>
          <w:szCs w:val="24"/>
        </w:rPr>
        <w:t xml:space="preserve">s well as enabling </w:t>
      </w:r>
      <w:r w:rsidR="009134FC" w:rsidRPr="005E3CA3">
        <w:rPr>
          <w:sz w:val="24"/>
          <w:szCs w:val="24"/>
        </w:rPr>
        <w:t>decision makers</w:t>
      </w:r>
      <w:r w:rsidR="00BD74F8">
        <w:rPr>
          <w:sz w:val="24"/>
          <w:szCs w:val="24"/>
        </w:rPr>
        <w:t xml:space="preserve"> to incorporate </w:t>
      </w:r>
      <w:r w:rsidR="009134FC" w:rsidRPr="005E3CA3">
        <w:rPr>
          <w:sz w:val="24"/>
          <w:szCs w:val="24"/>
        </w:rPr>
        <w:t xml:space="preserve">a </w:t>
      </w:r>
      <w:r w:rsidRPr="005E3CA3">
        <w:rPr>
          <w:sz w:val="24"/>
          <w:szCs w:val="24"/>
        </w:rPr>
        <w:t xml:space="preserve">risk-reward analysis </w:t>
      </w:r>
      <w:r w:rsidR="00346E44" w:rsidRPr="005E3CA3">
        <w:rPr>
          <w:sz w:val="24"/>
          <w:szCs w:val="24"/>
        </w:rPr>
        <w:t xml:space="preserve">as a routine </w:t>
      </w:r>
      <w:r w:rsidR="00BD74F8">
        <w:rPr>
          <w:sz w:val="24"/>
          <w:szCs w:val="24"/>
        </w:rPr>
        <w:t xml:space="preserve">part </w:t>
      </w:r>
      <w:r w:rsidR="00346E44" w:rsidRPr="005E3CA3">
        <w:rPr>
          <w:sz w:val="24"/>
          <w:szCs w:val="24"/>
        </w:rPr>
        <w:t xml:space="preserve"> of their jo</w:t>
      </w:r>
      <w:r w:rsidR="00BD74F8">
        <w:rPr>
          <w:sz w:val="24"/>
          <w:szCs w:val="24"/>
        </w:rPr>
        <w:t>bs</w:t>
      </w:r>
      <w:r w:rsidR="00E141DF" w:rsidRPr="005E3CA3">
        <w:rPr>
          <w:sz w:val="24"/>
          <w:szCs w:val="24"/>
        </w:rPr>
        <w:t xml:space="preserve">. </w:t>
      </w:r>
      <w:r w:rsidR="009134FC" w:rsidRPr="005E3CA3">
        <w:rPr>
          <w:sz w:val="24"/>
          <w:szCs w:val="24"/>
        </w:rPr>
        <w:t xml:space="preserve"> </w:t>
      </w:r>
      <w:r w:rsidR="00DA0964" w:rsidRPr="005E3CA3">
        <w:rPr>
          <w:sz w:val="24"/>
          <w:szCs w:val="24"/>
        </w:rPr>
        <w:t xml:space="preserve"> </w:t>
      </w:r>
    </w:p>
    <w:p w:rsidR="00DA0964" w:rsidRPr="005E3CA3" w:rsidRDefault="00DA0964" w:rsidP="009A09AB">
      <w:pPr>
        <w:spacing w:after="0" w:line="240" w:lineRule="auto"/>
        <w:rPr>
          <w:sz w:val="24"/>
          <w:szCs w:val="24"/>
        </w:rPr>
      </w:pPr>
    </w:p>
    <w:p w:rsidR="00DA0964" w:rsidRPr="005E3CA3" w:rsidRDefault="00DA0964" w:rsidP="009A09AB">
      <w:pPr>
        <w:spacing w:after="0" w:line="240" w:lineRule="auto"/>
        <w:rPr>
          <w:b/>
          <w:sz w:val="24"/>
          <w:szCs w:val="24"/>
        </w:rPr>
      </w:pPr>
      <w:r w:rsidRPr="005E3CA3">
        <w:rPr>
          <w:sz w:val="24"/>
          <w:szCs w:val="24"/>
        </w:rPr>
        <w:tab/>
      </w:r>
      <w:r w:rsidRPr="005E3CA3">
        <w:rPr>
          <w:b/>
          <w:sz w:val="24"/>
          <w:szCs w:val="24"/>
          <w:u w:val="single"/>
        </w:rPr>
        <w:t>Objectives</w:t>
      </w:r>
    </w:p>
    <w:p w:rsidR="00DA0964" w:rsidRPr="005E3CA3" w:rsidRDefault="00DA0964" w:rsidP="009A09AB">
      <w:pPr>
        <w:spacing w:after="0" w:line="240" w:lineRule="auto"/>
        <w:rPr>
          <w:sz w:val="24"/>
          <w:szCs w:val="24"/>
        </w:rPr>
      </w:pPr>
    </w:p>
    <w:p w:rsidR="00FE780E" w:rsidRPr="005E3CA3" w:rsidRDefault="00FE780E" w:rsidP="00FE780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Identify and assess</w:t>
      </w:r>
      <w:r w:rsidRPr="005E3CA3">
        <w:rPr>
          <w:sz w:val="24"/>
          <w:szCs w:val="24"/>
        </w:rPr>
        <w:t xml:space="preserve"> a broad array of risks that could negatively impact the achievement of institutional goals and objectives, building upon previous efforts and the existing risk inventory;</w:t>
      </w:r>
    </w:p>
    <w:p w:rsidR="00E728FB" w:rsidRPr="005E3CA3" w:rsidRDefault="00E728FB" w:rsidP="00E728FB">
      <w:pPr>
        <w:pStyle w:val="ListParagraph"/>
        <w:ind w:left="1080"/>
        <w:rPr>
          <w:sz w:val="24"/>
          <w:szCs w:val="24"/>
        </w:rPr>
      </w:pPr>
    </w:p>
    <w:p w:rsidR="009134FC" w:rsidRPr="005E3CA3" w:rsidRDefault="00E728FB" w:rsidP="002F29E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Prioritize</w:t>
      </w:r>
      <w:r w:rsidRPr="005E3CA3">
        <w:rPr>
          <w:sz w:val="24"/>
          <w:szCs w:val="24"/>
        </w:rPr>
        <w:t xml:space="preserve"> risks, based on an agreed framework</w:t>
      </w:r>
      <w:r w:rsidR="002F29E4" w:rsidRPr="005E3CA3">
        <w:rPr>
          <w:sz w:val="24"/>
          <w:szCs w:val="24"/>
        </w:rPr>
        <w:t xml:space="preserve">, and </w:t>
      </w:r>
      <w:r w:rsidR="002F29E4" w:rsidRPr="005E3CA3">
        <w:rPr>
          <w:sz w:val="24"/>
          <w:szCs w:val="24"/>
          <w:u w:val="single"/>
        </w:rPr>
        <w:t xml:space="preserve">develop </w:t>
      </w:r>
      <w:r w:rsidR="002B11AF" w:rsidRPr="005E3CA3">
        <w:rPr>
          <w:sz w:val="24"/>
          <w:szCs w:val="24"/>
          <w:u w:val="single"/>
        </w:rPr>
        <w:t>a</w:t>
      </w:r>
      <w:r w:rsidR="002F29E4" w:rsidRPr="005E3CA3">
        <w:rPr>
          <w:sz w:val="24"/>
          <w:szCs w:val="24"/>
          <w:u w:val="single"/>
        </w:rPr>
        <w:t xml:space="preserve"> plan to address, </w:t>
      </w:r>
      <w:r w:rsidR="002F29E4" w:rsidRPr="005E3CA3">
        <w:rPr>
          <w:sz w:val="24"/>
          <w:szCs w:val="24"/>
        </w:rPr>
        <w:t>wi</w:t>
      </w:r>
      <w:r w:rsidR="00DC1064" w:rsidRPr="005E3CA3">
        <w:rPr>
          <w:sz w:val="24"/>
          <w:szCs w:val="24"/>
        </w:rPr>
        <w:t xml:space="preserve">th appropriate ownership, follow-up, and accountability; </w:t>
      </w:r>
      <w:r w:rsidR="00416C9C" w:rsidRPr="005E3CA3">
        <w:rPr>
          <w:sz w:val="24"/>
          <w:szCs w:val="24"/>
        </w:rPr>
        <w:t xml:space="preserve"> </w:t>
      </w:r>
    </w:p>
    <w:p w:rsidR="00BB5519" w:rsidRPr="005E3CA3" w:rsidRDefault="00BB5519" w:rsidP="00BB5519">
      <w:pPr>
        <w:pStyle w:val="ListParagraph"/>
        <w:rPr>
          <w:sz w:val="24"/>
          <w:szCs w:val="24"/>
        </w:rPr>
      </w:pPr>
    </w:p>
    <w:p w:rsidR="00BB5519" w:rsidRPr="005E3CA3" w:rsidRDefault="00BB5519" w:rsidP="00BB551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Promote and strengthen a compliance culture</w:t>
      </w:r>
      <w:r w:rsidRPr="005E3CA3">
        <w:rPr>
          <w:sz w:val="24"/>
          <w:szCs w:val="24"/>
        </w:rPr>
        <w:t xml:space="preserve"> throughout the university.  If successful, compliance activities will be recognized as a way to enable and help meet the university’s goals, and not as an inhibitor to innovation or bureaucratic exercise;  </w:t>
      </w:r>
    </w:p>
    <w:p w:rsidR="0081782B" w:rsidRPr="005E3CA3" w:rsidRDefault="0081782B" w:rsidP="00DC1064">
      <w:pPr>
        <w:pStyle w:val="ListParagraph"/>
        <w:ind w:left="1080"/>
        <w:rPr>
          <w:sz w:val="24"/>
          <w:szCs w:val="24"/>
        </w:rPr>
      </w:pPr>
    </w:p>
    <w:p w:rsidR="001B25A8" w:rsidRPr="005E3CA3" w:rsidRDefault="00391BCB" w:rsidP="00453D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Enhance and improve FDU’s current policies and practices</w:t>
      </w:r>
      <w:r w:rsidRPr="005E3CA3">
        <w:rPr>
          <w:sz w:val="24"/>
          <w:szCs w:val="24"/>
        </w:rPr>
        <w:t xml:space="preserve"> for compliance, informed by </w:t>
      </w:r>
      <w:r w:rsidR="00F3558C" w:rsidRPr="005E3CA3">
        <w:rPr>
          <w:sz w:val="24"/>
          <w:szCs w:val="24"/>
        </w:rPr>
        <w:t xml:space="preserve">federal and state governmental directives </w:t>
      </w:r>
      <w:r w:rsidRPr="005E3CA3">
        <w:rPr>
          <w:sz w:val="24"/>
          <w:szCs w:val="24"/>
        </w:rPr>
        <w:t xml:space="preserve">and other best practices; </w:t>
      </w:r>
    </w:p>
    <w:p w:rsidR="000411DB" w:rsidRPr="005E3CA3" w:rsidRDefault="000411DB" w:rsidP="00DC1064">
      <w:pPr>
        <w:pStyle w:val="ListParagraph"/>
        <w:rPr>
          <w:sz w:val="24"/>
          <w:szCs w:val="24"/>
        </w:rPr>
      </w:pPr>
    </w:p>
    <w:p w:rsidR="009B20B7" w:rsidRPr="005E3CA3" w:rsidRDefault="009B20B7" w:rsidP="0030013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Focus not only on risks – but also on opportunities</w:t>
      </w:r>
      <w:r w:rsidRPr="005E3CA3">
        <w:rPr>
          <w:sz w:val="24"/>
          <w:szCs w:val="24"/>
        </w:rPr>
        <w:t xml:space="preserve"> for possible growth in key areas, such as </w:t>
      </w:r>
      <w:r w:rsidR="002F29E4" w:rsidRPr="005E3CA3">
        <w:rPr>
          <w:sz w:val="24"/>
          <w:szCs w:val="24"/>
        </w:rPr>
        <w:t xml:space="preserve">industry/university collaborations </w:t>
      </w:r>
      <w:r w:rsidRPr="005E3CA3">
        <w:rPr>
          <w:sz w:val="24"/>
          <w:szCs w:val="24"/>
        </w:rPr>
        <w:t xml:space="preserve">and </w:t>
      </w:r>
      <w:r w:rsidR="002F29E4" w:rsidRPr="005E3CA3">
        <w:rPr>
          <w:sz w:val="24"/>
          <w:szCs w:val="24"/>
        </w:rPr>
        <w:t xml:space="preserve">sponsored </w:t>
      </w:r>
      <w:r w:rsidRPr="005E3CA3">
        <w:rPr>
          <w:sz w:val="24"/>
          <w:szCs w:val="24"/>
        </w:rPr>
        <w:t>research;</w:t>
      </w:r>
    </w:p>
    <w:p w:rsidR="009B20B7" w:rsidRPr="005E3CA3" w:rsidRDefault="009B20B7" w:rsidP="009B20B7">
      <w:pPr>
        <w:spacing w:after="0" w:line="240" w:lineRule="auto"/>
        <w:rPr>
          <w:sz w:val="24"/>
          <w:szCs w:val="24"/>
        </w:rPr>
      </w:pPr>
    </w:p>
    <w:p w:rsidR="00466B3D" w:rsidRPr="005E3CA3" w:rsidRDefault="00FC24AE" w:rsidP="00FC24A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Coordinate</w:t>
      </w:r>
      <w:r w:rsidR="009379C0" w:rsidRPr="005E3CA3">
        <w:rPr>
          <w:sz w:val="24"/>
          <w:szCs w:val="24"/>
          <w:u w:val="single"/>
        </w:rPr>
        <w:t xml:space="preserve"> and centralize</w:t>
      </w:r>
      <w:r w:rsidRPr="005E3CA3">
        <w:rPr>
          <w:sz w:val="24"/>
          <w:szCs w:val="24"/>
          <w:u w:val="single"/>
        </w:rPr>
        <w:t xml:space="preserve"> </w:t>
      </w:r>
      <w:r w:rsidR="007A19B6" w:rsidRPr="005E3CA3">
        <w:rPr>
          <w:sz w:val="24"/>
          <w:szCs w:val="24"/>
          <w:u w:val="single"/>
        </w:rPr>
        <w:t xml:space="preserve">input </w:t>
      </w:r>
      <w:r w:rsidRPr="005E3CA3">
        <w:rPr>
          <w:sz w:val="24"/>
          <w:szCs w:val="24"/>
          <w:u w:val="single"/>
        </w:rPr>
        <w:t xml:space="preserve">and lessons learned </w:t>
      </w:r>
      <w:r w:rsidRPr="005E3CA3">
        <w:rPr>
          <w:sz w:val="24"/>
          <w:szCs w:val="24"/>
        </w:rPr>
        <w:t xml:space="preserve">from individual </w:t>
      </w:r>
      <w:r w:rsidR="007A19B6" w:rsidRPr="005E3CA3">
        <w:rPr>
          <w:sz w:val="24"/>
          <w:szCs w:val="24"/>
        </w:rPr>
        <w:t>functional/departmental areas</w:t>
      </w:r>
      <w:r w:rsidRPr="005E3CA3">
        <w:rPr>
          <w:sz w:val="24"/>
          <w:szCs w:val="24"/>
          <w:u w:val="single"/>
        </w:rPr>
        <w:t xml:space="preserve"> across F</w:t>
      </w:r>
      <w:r w:rsidR="002B68A7" w:rsidRPr="005E3CA3">
        <w:rPr>
          <w:sz w:val="24"/>
          <w:szCs w:val="24"/>
          <w:u w:val="single"/>
        </w:rPr>
        <w:t>D</w:t>
      </w:r>
      <w:r w:rsidRPr="005E3CA3">
        <w:rPr>
          <w:sz w:val="24"/>
          <w:szCs w:val="24"/>
          <w:u w:val="single"/>
        </w:rPr>
        <w:t>U</w:t>
      </w:r>
      <w:r w:rsidRPr="005E3CA3">
        <w:rPr>
          <w:sz w:val="24"/>
          <w:szCs w:val="24"/>
        </w:rPr>
        <w:t xml:space="preserve"> to </w:t>
      </w:r>
      <w:r w:rsidR="007A19B6" w:rsidRPr="005E3CA3">
        <w:rPr>
          <w:sz w:val="24"/>
          <w:szCs w:val="24"/>
        </w:rPr>
        <w:t xml:space="preserve">enhance </w:t>
      </w:r>
      <w:r w:rsidR="001B25A8" w:rsidRPr="005E3CA3">
        <w:rPr>
          <w:sz w:val="24"/>
          <w:szCs w:val="24"/>
        </w:rPr>
        <w:t>university-wide perspectives on risk;</w:t>
      </w:r>
    </w:p>
    <w:p w:rsidR="00466B3D" w:rsidRPr="005E3CA3" w:rsidRDefault="00466B3D" w:rsidP="00466B3D">
      <w:pPr>
        <w:pStyle w:val="ListParagraph"/>
        <w:rPr>
          <w:sz w:val="24"/>
          <w:szCs w:val="24"/>
        </w:rPr>
      </w:pPr>
    </w:p>
    <w:p w:rsidR="00526467" w:rsidRPr="005E3CA3" w:rsidRDefault="00466B3D" w:rsidP="00466B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Provide education</w:t>
      </w:r>
      <w:r w:rsidR="00AD0D56" w:rsidRPr="005E3CA3">
        <w:rPr>
          <w:sz w:val="24"/>
          <w:szCs w:val="24"/>
          <w:u w:val="single"/>
        </w:rPr>
        <w:t xml:space="preserve"> </w:t>
      </w:r>
      <w:r w:rsidRPr="005E3CA3">
        <w:rPr>
          <w:sz w:val="24"/>
          <w:szCs w:val="24"/>
          <w:u w:val="single"/>
        </w:rPr>
        <w:t>and training</w:t>
      </w:r>
      <w:r w:rsidRPr="005E3CA3">
        <w:rPr>
          <w:sz w:val="24"/>
          <w:szCs w:val="24"/>
        </w:rPr>
        <w:t xml:space="preserve"> on compliance to the University community;</w:t>
      </w:r>
      <w:r w:rsidR="000411DB" w:rsidRPr="005E3CA3">
        <w:rPr>
          <w:sz w:val="24"/>
          <w:szCs w:val="24"/>
        </w:rPr>
        <w:t xml:space="preserve"> and </w:t>
      </w:r>
    </w:p>
    <w:p w:rsidR="006968FA" w:rsidRPr="005E3CA3" w:rsidRDefault="006968FA" w:rsidP="006968FA">
      <w:pPr>
        <w:pStyle w:val="ListParagraph"/>
        <w:rPr>
          <w:sz w:val="24"/>
          <w:szCs w:val="24"/>
        </w:rPr>
      </w:pPr>
    </w:p>
    <w:p w:rsidR="00526467" w:rsidRPr="005E3CA3" w:rsidRDefault="006968FA" w:rsidP="00453D0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E3CA3">
        <w:rPr>
          <w:sz w:val="24"/>
          <w:szCs w:val="24"/>
          <w:u w:val="single"/>
        </w:rPr>
        <w:t>Ensure transparency</w:t>
      </w:r>
      <w:r w:rsidRPr="005E3CA3">
        <w:rPr>
          <w:sz w:val="24"/>
          <w:szCs w:val="24"/>
        </w:rPr>
        <w:t xml:space="preserve"> with senior leadership and the Board </w:t>
      </w:r>
      <w:r w:rsidR="003D3821">
        <w:rPr>
          <w:sz w:val="24"/>
          <w:szCs w:val="24"/>
        </w:rPr>
        <w:t xml:space="preserve">of Trustees </w:t>
      </w:r>
      <w:r w:rsidRPr="005E3CA3">
        <w:rPr>
          <w:sz w:val="24"/>
          <w:szCs w:val="24"/>
        </w:rPr>
        <w:t>on ERM activities</w:t>
      </w:r>
      <w:r w:rsidR="00C56C28" w:rsidRPr="005E3CA3">
        <w:rPr>
          <w:sz w:val="24"/>
          <w:szCs w:val="24"/>
        </w:rPr>
        <w:t>.</w:t>
      </w:r>
    </w:p>
    <w:p w:rsidR="006968FA" w:rsidRPr="005E3CA3" w:rsidRDefault="006968FA" w:rsidP="00427EC7">
      <w:pPr>
        <w:rPr>
          <w:sz w:val="24"/>
          <w:szCs w:val="24"/>
        </w:rPr>
      </w:pPr>
    </w:p>
    <w:p w:rsidR="00683C8D" w:rsidRPr="005E3CA3" w:rsidRDefault="00721305" w:rsidP="00AF013C">
      <w:pPr>
        <w:ind w:left="360" w:firstLine="360"/>
        <w:rPr>
          <w:b/>
          <w:sz w:val="24"/>
          <w:szCs w:val="24"/>
          <w:u w:val="single"/>
        </w:rPr>
      </w:pPr>
      <w:r w:rsidRPr="005E3CA3">
        <w:rPr>
          <w:b/>
          <w:sz w:val="24"/>
          <w:szCs w:val="24"/>
          <w:u w:val="single"/>
        </w:rPr>
        <w:t>Major Components of FDU’s ERM Program</w:t>
      </w:r>
    </w:p>
    <w:p w:rsidR="00F0025C" w:rsidRPr="005E3CA3" w:rsidRDefault="00721305" w:rsidP="00BE038D">
      <w:pPr>
        <w:ind w:firstLine="720"/>
        <w:rPr>
          <w:sz w:val="24"/>
          <w:szCs w:val="24"/>
        </w:rPr>
      </w:pPr>
      <w:r w:rsidRPr="005E3CA3">
        <w:rPr>
          <w:sz w:val="24"/>
          <w:szCs w:val="24"/>
        </w:rPr>
        <w:t>Enterprise Risk Management is generally described as a structured</w:t>
      </w:r>
      <w:r w:rsidR="00650AAD" w:rsidRPr="005E3CA3">
        <w:rPr>
          <w:sz w:val="24"/>
          <w:szCs w:val="24"/>
        </w:rPr>
        <w:t xml:space="preserve">, consistent, </w:t>
      </w:r>
      <w:r w:rsidRPr="005E3CA3">
        <w:rPr>
          <w:sz w:val="24"/>
          <w:szCs w:val="24"/>
        </w:rPr>
        <w:t xml:space="preserve">and continuous process across the </w:t>
      </w:r>
      <w:r w:rsidR="00650AAD" w:rsidRPr="005E3CA3">
        <w:rPr>
          <w:sz w:val="24"/>
          <w:szCs w:val="24"/>
        </w:rPr>
        <w:t>whole</w:t>
      </w:r>
      <w:r w:rsidR="00AF013C" w:rsidRPr="005E3CA3">
        <w:rPr>
          <w:sz w:val="24"/>
          <w:szCs w:val="24"/>
        </w:rPr>
        <w:t xml:space="preserve"> </w:t>
      </w:r>
      <w:r w:rsidRPr="005E3CA3">
        <w:rPr>
          <w:sz w:val="24"/>
          <w:szCs w:val="24"/>
        </w:rPr>
        <w:t xml:space="preserve">organization for identifying, assessing, </w:t>
      </w:r>
      <w:r w:rsidR="00650AAD" w:rsidRPr="005E3CA3">
        <w:rPr>
          <w:sz w:val="24"/>
          <w:szCs w:val="24"/>
        </w:rPr>
        <w:t xml:space="preserve">deciding on responses to, </w:t>
      </w:r>
      <w:r w:rsidRPr="005E3CA3">
        <w:rPr>
          <w:sz w:val="24"/>
          <w:szCs w:val="24"/>
        </w:rPr>
        <w:t xml:space="preserve">and reporting on opportunities and </w:t>
      </w:r>
      <w:r w:rsidR="00AF013C" w:rsidRPr="005E3CA3">
        <w:rPr>
          <w:sz w:val="24"/>
          <w:szCs w:val="24"/>
        </w:rPr>
        <w:t xml:space="preserve">risks </w:t>
      </w:r>
      <w:r w:rsidRPr="005E3CA3">
        <w:rPr>
          <w:sz w:val="24"/>
          <w:szCs w:val="24"/>
        </w:rPr>
        <w:t xml:space="preserve">that affect the achievement of </w:t>
      </w:r>
      <w:r w:rsidR="00AF013C" w:rsidRPr="005E3CA3">
        <w:rPr>
          <w:sz w:val="24"/>
          <w:szCs w:val="24"/>
        </w:rPr>
        <w:t>the organization’s</w:t>
      </w:r>
      <w:r w:rsidRPr="005E3CA3">
        <w:rPr>
          <w:sz w:val="24"/>
          <w:szCs w:val="24"/>
        </w:rPr>
        <w:t xml:space="preserve"> objectives. </w:t>
      </w:r>
      <w:r w:rsidR="00650AAD" w:rsidRPr="005E3CA3">
        <w:rPr>
          <w:sz w:val="24"/>
          <w:szCs w:val="24"/>
        </w:rPr>
        <w:t>(Institute of Internal Auditors 2009)</w:t>
      </w:r>
      <w:r w:rsidRPr="005E3CA3">
        <w:rPr>
          <w:sz w:val="24"/>
          <w:szCs w:val="24"/>
        </w:rPr>
        <w:t xml:space="preserve"> </w:t>
      </w:r>
      <w:r w:rsidR="00945051" w:rsidRPr="005E3CA3">
        <w:rPr>
          <w:sz w:val="24"/>
          <w:szCs w:val="24"/>
        </w:rPr>
        <w:t xml:space="preserve"> </w:t>
      </w:r>
      <w:r w:rsidR="00366F9E" w:rsidRPr="005E3CA3">
        <w:rPr>
          <w:sz w:val="24"/>
          <w:szCs w:val="24"/>
        </w:rPr>
        <w:t>The focus is not simply on risk elimination or mitigation</w:t>
      </w:r>
      <w:r w:rsidR="00945051" w:rsidRPr="005E3CA3">
        <w:rPr>
          <w:sz w:val="24"/>
          <w:szCs w:val="24"/>
        </w:rPr>
        <w:t xml:space="preserve"> – or on regulatory compliance -- </w:t>
      </w:r>
      <w:r w:rsidR="000A2977" w:rsidRPr="005E3CA3">
        <w:rPr>
          <w:sz w:val="24"/>
          <w:szCs w:val="24"/>
        </w:rPr>
        <w:t xml:space="preserve">but </w:t>
      </w:r>
      <w:r w:rsidR="00945051" w:rsidRPr="005E3CA3">
        <w:rPr>
          <w:sz w:val="24"/>
          <w:szCs w:val="24"/>
        </w:rPr>
        <w:t xml:space="preserve">on </w:t>
      </w:r>
      <w:r w:rsidR="00C61794" w:rsidRPr="005E3CA3">
        <w:rPr>
          <w:sz w:val="24"/>
          <w:szCs w:val="24"/>
        </w:rPr>
        <w:t>helping the organization achieve its</w:t>
      </w:r>
      <w:r w:rsidR="00DF0251" w:rsidRPr="005E3CA3">
        <w:rPr>
          <w:sz w:val="24"/>
          <w:szCs w:val="24"/>
        </w:rPr>
        <w:t xml:space="preserve"> mission,</w:t>
      </w:r>
      <w:r w:rsidR="00C61794" w:rsidRPr="005E3CA3">
        <w:rPr>
          <w:sz w:val="24"/>
          <w:szCs w:val="24"/>
        </w:rPr>
        <w:t xml:space="preserve"> </w:t>
      </w:r>
      <w:r w:rsidR="00CE7A2E" w:rsidRPr="005E3CA3">
        <w:rPr>
          <w:sz w:val="24"/>
          <w:szCs w:val="24"/>
        </w:rPr>
        <w:t>strategic</w:t>
      </w:r>
      <w:r w:rsidR="00DF0251" w:rsidRPr="005E3CA3">
        <w:rPr>
          <w:sz w:val="24"/>
          <w:szCs w:val="24"/>
        </w:rPr>
        <w:t xml:space="preserve"> plan, and</w:t>
      </w:r>
      <w:r w:rsidR="00C61794" w:rsidRPr="005E3CA3">
        <w:rPr>
          <w:sz w:val="24"/>
          <w:szCs w:val="24"/>
        </w:rPr>
        <w:t xml:space="preserve"> goals through an effective program that identifies, weighs, and addresses both risk and opportunity.  </w:t>
      </w:r>
      <w:r w:rsidR="00CE2F3D" w:rsidRPr="005E3CA3">
        <w:rPr>
          <w:sz w:val="24"/>
          <w:szCs w:val="24"/>
        </w:rPr>
        <w:t>At FDU, the ERM program should be informed by and help drive forward the 2020-2025 Strategic Plan</w:t>
      </w:r>
      <w:r w:rsidR="008E4B8C" w:rsidRPr="005E3CA3">
        <w:rPr>
          <w:sz w:val="24"/>
          <w:szCs w:val="24"/>
        </w:rPr>
        <w:t xml:space="preserve">, as the plan is developed and continually refined. </w:t>
      </w:r>
      <w:r w:rsidR="00CE2F3D" w:rsidRPr="005E3CA3">
        <w:rPr>
          <w:sz w:val="24"/>
          <w:szCs w:val="24"/>
        </w:rPr>
        <w:t xml:space="preserve"> </w:t>
      </w:r>
      <w:r w:rsidR="00C13AA3" w:rsidRPr="005E3CA3">
        <w:rPr>
          <w:sz w:val="24"/>
          <w:szCs w:val="24"/>
        </w:rPr>
        <w:t xml:space="preserve">In addition, for fiscal year 2020-2021, a key focus </w:t>
      </w:r>
      <w:r w:rsidR="008929D6">
        <w:rPr>
          <w:sz w:val="24"/>
          <w:szCs w:val="24"/>
        </w:rPr>
        <w:t xml:space="preserve">has been helping to </w:t>
      </w:r>
      <w:r w:rsidR="00322AF3" w:rsidRPr="005E3CA3">
        <w:rPr>
          <w:sz w:val="24"/>
          <w:szCs w:val="24"/>
        </w:rPr>
        <w:t xml:space="preserve">address </w:t>
      </w:r>
      <w:r w:rsidR="00C13AA3" w:rsidRPr="005E3CA3">
        <w:rPr>
          <w:sz w:val="24"/>
          <w:szCs w:val="24"/>
        </w:rPr>
        <w:t xml:space="preserve">the impacts of the COVID-19 pandemic.  </w:t>
      </w:r>
    </w:p>
    <w:p w:rsidR="00910CAB" w:rsidRPr="005E3CA3" w:rsidRDefault="00A55F17" w:rsidP="00AF013C">
      <w:pPr>
        <w:ind w:firstLine="360"/>
        <w:rPr>
          <w:sz w:val="24"/>
          <w:szCs w:val="24"/>
        </w:rPr>
      </w:pPr>
      <w:r w:rsidRPr="005E3CA3">
        <w:rPr>
          <w:sz w:val="24"/>
          <w:szCs w:val="24"/>
        </w:rPr>
        <w:t>The major components of FDU’s ERM program are:</w:t>
      </w:r>
    </w:p>
    <w:p w:rsidR="00A55F17" w:rsidRPr="005E3CA3" w:rsidRDefault="00A55F17" w:rsidP="00A55F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</w:rPr>
        <w:t>Establishing a core team and reporting structure for ERM activities;</w:t>
      </w:r>
    </w:p>
    <w:p w:rsidR="00A55F17" w:rsidRPr="005E3CA3" w:rsidRDefault="00A55F17" w:rsidP="00A55F17">
      <w:pPr>
        <w:pStyle w:val="ListParagraph"/>
        <w:ind w:left="1080"/>
        <w:rPr>
          <w:sz w:val="24"/>
          <w:szCs w:val="24"/>
        </w:rPr>
      </w:pPr>
    </w:p>
    <w:p w:rsidR="00A55F17" w:rsidRPr="005E3CA3" w:rsidRDefault="00A55F17" w:rsidP="00A55F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</w:rPr>
        <w:t xml:space="preserve">Identifying risks and opportunities in each major functional unit; </w:t>
      </w:r>
    </w:p>
    <w:p w:rsidR="00C57A91" w:rsidRPr="005E3CA3" w:rsidRDefault="00C57A91" w:rsidP="00C57A91">
      <w:pPr>
        <w:pStyle w:val="ListParagraph"/>
        <w:rPr>
          <w:sz w:val="24"/>
          <w:szCs w:val="24"/>
        </w:rPr>
      </w:pPr>
    </w:p>
    <w:p w:rsidR="00C57A91" w:rsidRPr="005E3CA3" w:rsidRDefault="00C57A91" w:rsidP="00A55F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</w:rPr>
        <w:t>Prioritiz</w:t>
      </w:r>
      <w:r w:rsidR="00400473" w:rsidRPr="005E3CA3">
        <w:rPr>
          <w:sz w:val="24"/>
          <w:szCs w:val="24"/>
        </w:rPr>
        <w:t>ing</w:t>
      </w:r>
      <w:r w:rsidRPr="005E3CA3">
        <w:rPr>
          <w:sz w:val="24"/>
          <w:szCs w:val="24"/>
        </w:rPr>
        <w:t xml:space="preserve"> key areas for attention; </w:t>
      </w:r>
    </w:p>
    <w:p w:rsidR="00A55F17" w:rsidRPr="005E3CA3" w:rsidRDefault="00A55F17" w:rsidP="00A55F17">
      <w:pPr>
        <w:pStyle w:val="ListParagraph"/>
        <w:rPr>
          <w:sz w:val="24"/>
          <w:szCs w:val="24"/>
        </w:rPr>
      </w:pPr>
    </w:p>
    <w:p w:rsidR="00A55F17" w:rsidRPr="005E3CA3" w:rsidRDefault="00A55F17" w:rsidP="00A55F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</w:rPr>
        <w:t xml:space="preserve">Developing a plan for addressing </w:t>
      </w:r>
      <w:r w:rsidR="00C57A91" w:rsidRPr="005E3CA3">
        <w:rPr>
          <w:sz w:val="24"/>
          <w:szCs w:val="24"/>
        </w:rPr>
        <w:t xml:space="preserve">key </w:t>
      </w:r>
      <w:r w:rsidRPr="005E3CA3">
        <w:rPr>
          <w:sz w:val="24"/>
          <w:szCs w:val="24"/>
        </w:rPr>
        <w:t>risks and opportunities</w:t>
      </w:r>
      <w:r w:rsidR="005F1EB8" w:rsidRPr="005E3CA3">
        <w:rPr>
          <w:sz w:val="24"/>
          <w:szCs w:val="24"/>
        </w:rPr>
        <w:t xml:space="preserve">, including required </w:t>
      </w:r>
      <w:r w:rsidR="0081782B" w:rsidRPr="005E3CA3">
        <w:rPr>
          <w:sz w:val="24"/>
          <w:szCs w:val="24"/>
        </w:rPr>
        <w:t xml:space="preserve">resources </w:t>
      </w:r>
      <w:r w:rsidR="005F1EB8" w:rsidRPr="005E3CA3">
        <w:rPr>
          <w:sz w:val="24"/>
          <w:szCs w:val="24"/>
        </w:rPr>
        <w:t xml:space="preserve"> for plan implementation</w:t>
      </w:r>
      <w:r w:rsidRPr="005E3CA3">
        <w:rPr>
          <w:sz w:val="24"/>
          <w:szCs w:val="24"/>
        </w:rPr>
        <w:t xml:space="preserve">; </w:t>
      </w:r>
    </w:p>
    <w:p w:rsidR="00C57A91" w:rsidRPr="005E3CA3" w:rsidRDefault="00C57A91" w:rsidP="00C57A91">
      <w:pPr>
        <w:pStyle w:val="ListParagraph"/>
        <w:rPr>
          <w:sz w:val="24"/>
          <w:szCs w:val="24"/>
        </w:rPr>
      </w:pPr>
    </w:p>
    <w:p w:rsidR="00C57A91" w:rsidRPr="005E3CA3" w:rsidRDefault="00C57A91" w:rsidP="00C5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</w:rPr>
        <w:t xml:space="preserve">Reporting </w:t>
      </w:r>
      <w:r w:rsidR="00400473" w:rsidRPr="005E3CA3">
        <w:rPr>
          <w:sz w:val="24"/>
          <w:szCs w:val="24"/>
        </w:rPr>
        <w:t xml:space="preserve">the </w:t>
      </w:r>
      <w:r w:rsidRPr="005E3CA3">
        <w:rPr>
          <w:sz w:val="24"/>
          <w:szCs w:val="24"/>
        </w:rPr>
        <w:t>plan to senior leadership and Board of Trustees;</w:t>
      </w:r>
    </w:p>
    <w:p w:rsidR="00C57A91" w:rsidRPr="005E3CA3" w:rsidRDefault="00C57A91" w:rsidP="00C57A91">
      <w:pPr>
        <w:pStyle w:val="ListParagraph"/>
        <w:rPr>
          <w:sz w:val="24"/>
          <w:szCs w:val="24"/>
        </w:rPr>
      </w:pPr>
    </w:p>
    <w:p w:rsidR="00C57A91" w:rsidRPr="005E3CA3" w:rsidRDefault="00C57A91" w:rsidP="00C57A91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Hlk39401387"/>
      <w:r w:rsidRPr="005E3CA3">
        <w:rPr>
          <w:sz w:val="24"/>
          <w:szCs w:val="24"/>
        </w:rPr>
        <w:t xml:space="preserve">Implementing </w:t>
      </w:r>
      <w:r w:rsidR="00FB793F" w:rsidRPr="005E3CA3">
        <w:rPr>
          <w:sz w:val="24"/>
          <w:szCs w:val="24"/>
        </w:rPr>
        <w:t xml:space="preserve">the </w:t>
      </w:r>
      <w:r w:rsidRPr="005E3CA3">
        <w:rPr>
          <w:sz w:val="24"/>
          <w:szCs w:val="24"/>
        </w:rPr>
        <w:t>plan;</w:t>
      </w:r>
      <w:bookmarkEnd w:id="0"/>
      <w:r w:rsidRPr="005E3CA3">
        <w:rPr>
          <w:sz w:val="24"/>
          <w:szCs w:val="24"/>
        </w:rPr>
        <w:t xml:space="preserve"> and </w:t>
      </w:r>
    </w:p>
    <w:p w:rsidR="00C57A91" w:rsidRPr="005E3CA3" w:rsidRDefault="00C57A91" w:rsidP="00C57A91">
      <w:pPr>
        <w:pStyle w:val="ListParagraph"/>
        <w:rPr>
          <w:sz w:val="24"/>
          <w:szCs w:val="24"/>
        </w:rPr>
      </w:pPr>
    </w:p>
    <w:p w:rsidR="00C57A91" w:rsidRPr="005E3CA3" w:rsidRDefault="00C57A91" w:rsidP="00C57A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E3CA3">
        <w:rPr>
          <w:sz w:val="24"/>
          <w:szCs w:val="24"/>
        </w:rPr>
        <w:t>Repeat</w:t>
      </w:r>
      <w:r w:rsidR="00FB793F" w:rsidRPr="005E3CA3">
        <w:rPr>
          <w:sz w:val="24"/>
          <w:szCs w:val="24"/>
        </w:rPr>
        <w:t xml:space="preserve">ing the process on a continual basis, </w:t>
      </w:r>
      <w:r w:rsidRPr="005E3CA3">
        <w:rPr>
          <w:sz w:val="24"/>
          <w:szCs w:val="24"/>
        </w:rPr>
        <w:t xml:space="preserve">with updates and improvements.   </w:t>
      </w:r>
    </w:p>
    <w:p w:rsidR="004B109F" w:rsidRPr="005E3CA3" w:rsidRDefault="004B109F" w:rsidP="00CE2F3D">
      <w:pPr>
        <w:rPr>
          <w:i/>
          <w:sz w:val="24"/>
          <w:szCs w:val="24"/>
          <w:u w:val="single"/>
        </w:rPr>
      </w:pPr>
    </w:p>
    <w:p w:rsidR="004B109F" w:rsidRDefault="00330DE7" w:rsidP="00CE2F3D">
      <w:pPr>
        <w:rPr>
          <w:i/>
          <w:u w:val="single"/>
        </w:rPr>
      </w:pPr>
      <w:r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294D4" wp14:editId="3CC45500">
                <wp:simplePos x="0" y="0"/>
                <wp:positionH relativeFrom="column">
                  <wp:posOffset>654050</wp:posOffset>
                </wp:positionH>
                <wp:positionV relativeFrom="paragraph">
                  <wp:posOffset>1079500</wp:posOffset>
                </wp:positionV>
                <wp:extent cx="1422400" cy="2927350"/>
                <wp:effectExtent l="0" t="0" r="254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292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3594" w:rsidRDefault="00330DE7">
                            <w:r>
                              <w:t xml:space="preserve">Develop </w:t>
                            </w:r>
                            <w:r w:rsidR="009E3594">
                              <w:t>ERM resources, survey results, educational material</w:t>
                            </w:r>
                            <w:r w:rsidR="0022316B">
                              <w:t>s</w:t>
                            </w:r>
                          </w:p>
                          <w:p w:rsidR="009E3594" w:rsidRDefault="009E3594">
                            <w:r>
                              <w:t>Discuss known risks &amp; opportunit</w:t>
                            </w:r>
                            <w:r w:rsidR="0022316B">
                              <w:t>ies</w:t>
                            </w:r>
                          </w:p>
                          <w:p w:rsidR="009E3594" w:rsidRDefault="009E3594">
                            <w:r>
                              <w:t>Identify functional units for</w:t>
                            </w:r>
                            <w:r w:rsidR="001A3410">
                              <w:t xml:space="preserve"> deep dive</w:t>
                            </w:r>
                          </w:p>
                          <w:p w:rsidR="009E3594" w:rsidRDefault="009E3594">
                            <w:r>
                              <w:t>Prepare priorities &amp; draft action plan</w:t>
                            </w:r>
                            <w:r w:rsidR="001A3410">
                              <w:t>s</w:t>
                            </w:r>
                          </w:p>
                          <w:p w:rsidR="009E3594" w:rsidRDefault="009E3594">
                            <w:r>
                              <w:t>Coordinate lessons</w:t>
                            </w:r>
                            <w:r w:rsidR="001A3410">
                              <w:t>-</w:t>
                            </w:r>
                            <w:r>
                              <w:t>learned and best practices across FDU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9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5pt;margin-top:85pt;width:112pt;height:2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" fillcolor="white [3201]" strokeweight=".5pt">
                <v:textbox>
                  <w:txbxContent>
                    <w:p w:rsidR="009E3594" w:rsidRDefault="00330DE7">
                      <w:r>
                        <w:t xml:space="preserve">Develop </w:t>
                      </w:r>
                      <w:r w:rsidR="009E3594">
                        <w:t>ERM resources, survey results, educational material</w:t>
                      </w:r>
                      <w:r w:rsidR="0022316B">
                        <w:t>s</w:t>
                      </w:r>
                    </w:p>
                    <w:p w:rsidR="009E3594" w:rsidRDefault="009E3594">
                      <w:r>
                        <w:t>Discuss known risks &amp; opportunit</w:t>
                      </w:r>
                      <w:r w:rsidR="0022316B">
                        <w:t>ies</w:t>
                      </w:r>
                    </w:p>
                    <w:p w:rsidR="009E3594" w:rsidRDefault="009E3594">
                      <w:r>
                        <w:t>Identify functional units for</w:t>
                      </w:r>
                      <w:r w:rsidR="001A3410">
                        <w:t xml:space="preserve"> deep dive</w:t>
                      </w:r>
                    </w:p>
                    <w:p w:rsidR="009E3594" w:rsidRDefault="009E3594">
                      <w:r>
                        <w:t>Prepare priorities &amp; draft action plan</w:t>
                      </w:r>
                      <w:r w:rsidR="001A3410">
                        <w:t>s</w:t>
                      </w:r>
                    </w:p>
                    <w:p w:rsidR="009E3594" w:rsidRDefault="009E3594">
                      <w:r>
                        <w:t>Coordinate lessons</w:t>
                      </w:r>
                      <w:r w:rsidR="001A3410">
                        <w:t>-</w:t>
                      </w:r>
                      <w:r>
                        <w:t>learned and best practices across FDU</w:t>
                      </w:r>
                    </w:p>
                  </w:txbxContent>
                </v:textbox>
              </v:shape>
            </w:pict>
          </mc:Fallback>
        </mc:AlternateContent>
      </w:r>
      <w:r w:rsidR="009A776C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7CE26" wp14:editId="5CDDF8EB">
                <wp:simplePos x="0" y="0"/>
                <wp:positionH relativeFrom="column">
                  <wp:posOffset>2273300</wp:posOffset>
                </wp:positionH>
                <wp:positionV relativeFrom="paragraph">
                  <wp:posOffset>269240</wp:posOffset>
                </wp:positionV>
                <wp:extent cx="978408" cy="484632"/>
                <wp:effectExtent l="19050" t="19050" r="31750" b="29845"/>
                <wp:wrapNone/>
                <wp:docPr id="5" name="Arrow: Notched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1631E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5" o:spid="_x0000_s1026" type="#_x0000_t94" style="position:absolute;margin-left:179pt;margin-top:21.2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" adj="16250" fillcolor="#4472c4 [3204]" strokecolor="#1f3763 [1604]" strokeweight="1pt"/>
            </w:pict>
          </mc:Fallback>
        </mc:AlternateContent>
      </w:r>
      <w:r w:rsidR="004B109F" w:rsidRPr="004B109F">
        <w:rPr>
          <w:rFonts w:ascii="Arial" w:eastAsia="Calibri" w:hAnsi="Arial" w:cs="Arial"/>
          <w:noProof/>
        </w:rPr>
        <w:drawing>
          <wp:inline distT="0" distB="0" distL="0" distR="0" wp14:anchorId="23F1DAB8" wp14:editId="0C9B0515">
            <wp:extent cx="5638800" cy="40195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B109F" w:rsidRDefault="004B109F" w:rsidP="00CE2F3D">
      <w:pPr>
        <w:rPr>
          <w:i/>
          <w:u w:val="single"/>
        </w:rPr>
      </w:pPr>
    </w:p>
    <w:p w:rsidR="002C0FC5" w:rsidRDefault="002C0FC5" w:rsidP="00CE2F3D">
      <w:pPr>
        <w:rPr>
          <w:i/>
          <w:sz w:val="24"/>
          <w:szCs w:val="24"/>
          <w:u w:val="single"/>
        </w:rPr>
      </w:pPr>
    </w:p>
    <w:p w:rsidR="0040562C" w:rsidRPr="00357B5D" w:rsidRDefault="00D82953" w:rsidP="00CE2F3D">
      <w:pPr>
        <w:rPr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Core Team</w:t>
      </w:r>
      <w:r w:rsidR="00033B10" w:rsidRPr="00357B5D">
        <w:rPr>
          <w:i/>
          <w:sz w:val="24"/>
          <w:szCs w:val="24"/>
          <w:u w:val="single"/>
        </w:rPr>
        <w:t xml:space="preserve"> and Steering Committee</w:t>
      </w:r>
      <w:r w:rsidR="00DA6848" w:rsidRPr="00357B5D">
        <w:rPr>
          <w:sz w:val="24"/>
          <w:szCs w:val="24"/>
        </w:rPr>
        <w:t xml:space="preserve">:  </w:t>
      </w:r>
    </w:p>
    <w:p w:rsidR="00033B10" w:rsidRPr="00357B5D" w:rsidRDefault="00DA6848" w:rsidP="004B0852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>FDU</w:t>
      </w:r>
      <w:r w:rsidR="00CD2E5D" w:rsidRPr="00357B5D">
        <w:rPr>
          <w:sz w:val="24"/>
          <w:szCs w:val="24"/>
        </w:rPr>
        <w:t>’s</w:t>
      </w:r>
      <w:r w:rsidRPr="00357B5D">
        <w:rPr>
          <w:sz w:val="24"/>
          <w:szCs w:val="24"/>
        </w:rPr>
        <w:t xml:space="preserve"> Chief Compliance Officer, working in close collaboration with the Director of Internal Audit and </w:t>
      </w:r>
      <w:r w:rsidR="00DF0251" w:rsidRPr="00357B5D">
        <w:rPr>
          <w:sz w:val="24"/>
          <w:szCs w:val="24"/>
        </w:rPr>
        <w:t>University Risk Manager</w:t>
      </w:r>
      <w:r w:rsidRPr="00357B5D">
        <w:rPr>
          <w:sz w:val="24"/>
          <w:szCs w:val="24"/>
        </w:rPr>
        <w:t xml:space="preserve">, will have day-to-day responsibility for leading the ERM initiative. </w:t>
      </w:r>
      <w:r w:rsidR="00033B10" w:rsidRPr="00357B5D">
        <w:rPr>
          <w:sz w:val="24"/>
          <w:szCs w:val="24"/>
        </w:rPr>
        <w:t xml:space="preserve"> This core </w:t>
      </w:r>
      <w:r w:rsidR="000451F3" w:rsidRPr="00357B5D">
        <w:rPr>
          <w:sz w:val="24"/>
          <w:szCs w:val="24"/>
        </w:rPr>
        <w:t xml:space="preserve">team </w:t>
      </w:r>
      <w:r w:rsidR="00033B10" w:rsidRPr="00357B5D">
        <w:rPr>
          <w:sz w:val="24"/>
          <w:szCs w:val="24"/>
        </w:rPr>
        <w:t>develops ERM tools and resources</w:t>
      </w:r>
      <w:r w:rsidR="00B82D6E" w:rsidRPr="00357B5D">
        <w:rPr>
          <w:sz w:val="24"/>
          <w:szCs w:val="24"/>
        </w:rPr>
        <w:t xml:space="preserve"> -- </w:t>
      </w:r>
      <w:r w:rsidR="00033B10" w:rsidRPr="00357B5D">
        <w:rPr>
          <w:sz w:val="24"/>
          <w:szCs w:val="24"/>
        </w:rPr>
        <w:t>including survey questionnaires and</w:t>
      </w:r>
      <w:r w:rsidR="00977103" w:rsidRPr="00357B5D">
        <w:rPr>
          <w:sz w:val="24"/>
          <w:szCs w:val="24"/>
        </w:rPr>
        <w:t xml:space="preserve"> results,</w:t>
      </w:r>
      <w:r w:rsidR="00B82D6E" w:rsidRPr="00357B5D">
        <w:rPr>
          <w:sz w:val="24"/>
          <w:szCs w:val="24"/>
        </w:rPr>
        <w:t xml:space="preserve"> and</w:t>
      </w:r>
      <w:r w:rsidR="00977103" w:rsidRPr="00357B5D">
        <w:rPr>
          <w:sz w:val="24"/>
          <w:szCs w:val="24"/>
        </w:rPr>
        <w:t xml:space="preserve"> </w:t>
      </w:r>
      <w:r w:rsidR="00033B10" w:rsidRPr="00357B5D">
        <w:rPr>
          <w:sz w:val="24"/>
          <w:szCs w:val="24"/>
        </w:rPr>
        <w:t>training</w:t>
      </w:r>
      <w:r w:rsidR="00977103" w:rsidRPr="00357B5D">
        <w:rPr>
          <w:sz w:val="24"/>
          <w:szCs w:val="24"/>
        </w:rPr>
        <w:t xml:space="preserve"> and education materials</w:t>
      </w:r>
      <w:r w:rsidR="00B82D6E" w:rsidRPr="00357B5D">
        <w:rPr>
          <w:sz w:val="24"/>
          <w:szCs w:val="24"/>
        </w:rPr>
        <w:t xml:space="preserve"> --</w:t>
      </w:r>
      <w:r w:rsidR="00977103" w:rsidRPr="00357B5D">
        <w:rPr>
          <w:sz w:val="24"/>
          <w:szCs w:val="24"/>
        </w:rPr>
        <w:t xml:space="preserve"> </w:t>
      </w:r>
      <w:r w:rsidR="003B2279" w:rsidRPr="00357B5D">
        <w:rPr>
          <w:sz w:val="24"/>
          <w:szCs w:val="24"/>
        </w:rPr>
        <w:t xml:space="preserve"> </w:t>
      </w:r>
      <w:r w:rsidR="000451F3" w:rsidRPr="00357B5D">
        <w:rPr>
          <w:sz w:val="24"/>
          <w:szCs w:val="24"/>
        </w:rPr>
        <w:t>a</w:t>
      </w:r>
      <w:r w:rsidR="003B2279" w:rsidRPr="00357B5D">
        <w:rPr>
          <w:sz w:val="24"/>
          <w:szCs w:val="24"/>
        </w:rPr>
        <w:t xml:space="preserve">nd prepares and delivers </w:t>
      </w:r>
      <w:r w:rsidR="000451F3" w:rsidRPr="00357B5D">
        <w:rPr>
          <w:sz w:val="24"/>
          <w:szCs w:val="24"/>
        </w:rPr>
        <w:t>reports</w:t>
      </w:r>
      <w:r w:rsidR="003B2279" w:rsidRPr="00357B5D">
        <w:rPr>
          <w:sz w:val="24"/>
          <w:szCs w:val="24"/>
        </w:rPr>
        <w:t xml:space="preserve"> to</w:t>
      </w:r>
      <w:r w:rsidR="000451F3" w:rsidRPr="00357B5D">
        <w:rPr>
          <w:sz w:val="24"/>
          <w:szCs w:val="24"/>
        </w:rPr>
        <w:t xml:space="preserve"> senior leadership and the Board. </w:t>
      </w:r>
    </w:p>
    <w:p w:rsidR="000451F3" w:rsidRPr="00357B5D" w:rsidRDefault="00033B10" w:rsidP="00033B10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 xml:space="preserve"> T</w:t>
      </w:r>
      <w:r w:rsidR="00CD2E5D" w:rsidRPr="00357B5D">
        <w:rPr>
          <w:sz w:val="24"/>
          <w:szCs w:val="24"/>
        </w:rPr>
        <w:t xml:space="preserve">his core </w:t>
      </w:r>
      <w:r w:rsidR="009148B9" w:rsidRPr="00357B5D">
        <w:rPr>
          <w:sz w:val="24"/>
          <w:szCs w:val="24"/>
        </w:rPr>
        <w:t>team</w:t>
      </w:r>
      <w:r w:rsidR="00CD2E5D" w:rsidRPr="00357B5D">
        <w:rPr>
          <w:sz w:val="24"/>
          <w:szCs w:val="24"/>
        </w:rPr>
        <w:t xml:space="preserve"> plus a designee from each major functional unit</w:t>
      </w:r>
      <w:r w:rsidRPr="00357B5D">
        <w:rPr>
          <w:sz w:val="24"/>
          <w:szCs w:val="24"/>
        </w:rPr>
        <w:t xml:space="preserve"> in the university</w:t>
      </w:r>
      <w:r w:rsidR="00CD2E5D" w:rsidRPr="00357B5D">
        <w:rPr>
          <w:sz w:val="24"/>
          <w:szCs w:val="24"/>
        </w:rPr>
        <w:t xml:space="preserve"> has </w:t>
      </w:r>
      <w:r w:rsidRPr="00357B5D">
        <w:rPr>
          <w:sz w:val="24"/>
          <w:szCs w:val="24"/>
        </w:rPr>
        <w:t>formed an ERM Steering Committee that w</w:t>
      </w:r>
      <w:r w:rsidR="00CD2E5D" w:rsidRPr="00357B5D">
        <w:rPr>
          <w:sz w:val="24"/>
          <w:szCs w:val="24"/>
        </w:rPr>
        <w:t>ill meet a</w:t>
      </w:r>
      <w:r w:rsidR="0078669E">
        <w:rPr>
          <w:sz w:val="24"/>
          <w:szCs w:val="24"/>
        </w:rPr>
        <w:t>bout</w:t>
      </w:r>
      <w:r w:rsidR="00CD2E5D" w:rsidRPr="00357B5D">
        <w:rPr>
          <w:sz w:val="24"/>
          <w:szCs w:val="24"/>
        </w:rPr>
        <w:t xml:space="preserve"> every two months </w:t>
      </w:r>
      <w:r w:rsidRPr="00357B5D">
        <w:rPr>
          <w:sz w:val="24"/>
          <w:szCs w:val="24"/>
        </w:rPr>
        <w:t xml:space="preserve">to:  (i) review </w:t>
      </w:r>
      <w:r w:rsidR="000451F3" w:rsidRPr="00357B5D">
        <w:rPr>
          <w:sz w:val="24"/>
          <w:szCs w:val="24"/>
        </w:rPr>
        <w:t>and update survey questions;  (ii) identify functional units for the deep-dive review (see below);  (ii</w:t>
      </w:r>
      <w:r w:rsidR="00AE5C99" w:rsidRPr="00357B5D">
        <w:rPr>
          <w:sz w:val="24"/>
          <w:szCs w:val="24"/>
        </w:rPr>
        <w:t>i</w:t>
      </w:r>
      <w:r w:rsidR="000451F3" w:rsidRPr="00357B5D">
        <w:rPr>
          <w:sz w:val="24"/>
          <w:szCs w:val="24"/>
        </w:rPr>
        <w:t>) review and prioritize identified risks and opportunities;  (iv) outline possible ways to address</w:t>
      </w:r>
      <w:r w:rsidR="00AE5C99" w:rsidRPr="00357B5D">
        <w:rPr>
          <w:sz w:val="24"/>
          <w:szCs w:val="24"/>
        </w:rPr>
        <w:t xml:space="preserve"> key risks and opportunities</w:t>
      </w:r>
      <w:r w:rsidR="005F1EB8" w:rsidRPr="00357B5D">
        <w:rPr>
          <w:sz w:val="24"/>
          <w:szCs w:val="24"/>
        </w:rPr>
        <w:t xml:space="preserve"> including </w:t>
      </w:r>
      <w:r w:rsidR="0081782B" w:rsidRPr="00357B5D">
        <w:rPr>
          <w:sz w:val="24"/>
          <w:szCs w:val="24"/>
        </w:rPr>
        <w:t xml:space="preserve">resources and </w:t>
      </w:r>
      <w:r w:rsidR="005F1EB8" w:rsidRPr="00357B5D">
        <w:rPr>
          <w:sz w:val="24"/>
          <w:szCs w:val="24"/>
        </w:rPr>
        <w:t>budget for implementation</w:t>
      </w:r>
      <w:r w:rsidR="000451F3" w:rsidRPr="00357B5D">
        <w:rPr>
          <w:sz w:val="24"/>
          <w:szCs w:val="24"/>
        </w:rPr>
        <w:t xml:space="preserve">;  (v) </w:t>
      </w:r>
      <w:r w:rsidR="00AE5C99" w:rsidRPr="00357B5D">
        <w:rPr>
          <w:sz w:val="24"/>
          <w:szCs w:val="24"/>
        </w:rPr>
        <w:t>coordinate information and lessons learned across functional units, to centralize best practices</w:t>
      </w:r>
      <w:r w:rsidR="00A4420C" w:rsidRPr="00357B5D">
        <w:rPr>
          <w:sz w:val="24"/>
          <w:szCs w:val="24"/>
        </w:rPr>
        <w:t xml:space="preserve"> (confidential information to be separately handled)</w:t>
      </w:r>
      <w:r w:rsidR="00AE5C99" w:rsidRPr="00357B5D">
        <w:rPr>
          <w:sz w:val="24"/>
          <w:szCs w:val="24"/>
        </w:rPr>
        <w:t xml:space="preserve">; and (vi) </w:t>
      </w:r>
      <w:r w:rsidR="003B2279" w:rsidRPr="00357B5D">
        <w:rPr>
          <w:sz w:val="24"/>
          <w:szCs w:val="24"/>
        </w:rPr>
        <w:t>review</w:t>
      </w:r>
      <w:r w:rsidR="007A237D" w:rsidRPr="00357B5D">
        <w:rPr>
          <w:sz w:val="24"/>
          <w:szCs w:val="24"/>
        </w:rPr>
        <w:t xml:space="preserve"> training and e</w:t>
      </w:r>
      <w:r w:rsidR="003B2279" w:rsidRPr="00357B5D">
        <w:rPr>
          <w:sz w:val="24"/>
          <w:szCs w:val="24"/>
        </w:rPr>
        <w:t>ducational materials</w:t>
      </w:r>
      <w:r w:rsidR="007A237D" w:rsidRPr="00357B5D">
        <w:rPr>
          <w:sz w:val="24"/>
          <w:szCs w:val="24"/>
        </w:rPr>
        <w:t xml:space="preserve"> and draft reports. </w:t>
      </w:r>
      <w:r w:rsidR="00AE5C99" w:rsidRPr="00357B5D">
        <w:rPr>
          <w:sz w:val="24"/>
          <w:szCs w:val="24"/>
        </w:rPr>
        <w:t xml:space="preserve">  </w:t>
      </w:r>
    </w:p>
    <w:p w:rsidR="0074486E" w:rsidRDefault="00E13A2C" w:rsidP="000451F3">
      <w:pPr>
        <w:rPr>
          <w:sz w:val="24"/>
          <w:szCs w:val="24"/>
        </w:rPr>
      </w:pPr>
      <w:r w:rsidRPr="00357B5D">
        <w:rPr>
          <w:sz w:val="24"/>
          <w:szCs w:val="24"/>
        </w:rPr>
        <w:tab/>
      </w:r>
      <w:r w:rsidR="00F00F05" w:rsidRPr="00357B5D">
        <w:rPr>
          <w:sz w:val="24"/>
          <w:szCs w:val="24"/>
        </w:rPr>
        <w:t xml:space="preserve">The core </w:t>
      </w:r>
      <w:r w:rsidR="009148B9" w:rsidRPr="00357B5D">
        <w:rPr>
          <w:sz w:val="24"/>
          <w:szCs w:val="24"/>
        </w:rPr>
        <w:t>team</w:t>
      </w:r>
      <w:r w:rsidR="00F00F05" w:rsidRPr="00357B5D">
        <w:rPr>
          <w:sz w:val="24"/>
          <w:szCs w:val="24"/>
        </w:rPr>
        <w:t xml:space="preserve"> plus several members of the Steering Committee (selected on an ad-hoc basis depending on subject-matter expertise) will meet approximately every </w:t>
      </w:r>
      <w:r w:rsidR="007423BF" w:rsidRPr="00357B5D">
        <w:rPr>
          <w:sz w:val="24"/>
          <w:szCs w:val="24"/>
        </w:rPr>
        <w:t xml:space="preserve">six </w:t>
      </w:r>
      <w:r w:rsidR="00F00F05" w:rsidRPr="00357B5D">
        <w:rPr>
          <w:sz w:val="24"/>
          <w:szCs w:val="24"/>
        </w:rPr>
        <w:t>weeks with representatives from a high-priority functional unit to explore in detail risk</w:t>
      </w:r>
      <w:r w:rsidR="005F1EB8" w:rsidRPr="00357B5D">
        <w:rPr>
          <w:sz w:val="24"/>
          <w:szCs w:val="24"/>
        </w:rPr>
        <w:t>s</w:t>
      </w:r>
      <w:r w:rsidR="00F00F05" w:rsidRPr="00357B5D">
        <w:rPr>
          <w:sz w:val="24"/>
          <w:szCs w:val="24"/>
        </w:rPr>
        <w:t xml:space="preserve"> and opportunities.  Non-confidential results will be shared with the ERM Steering Committee; confidential results will be separately documented and reported to senior leadership (and the Board, as applicable).  </w:t>
      </w:r>
      <w:r w:rsidR="00B30EA4" w:rsidRPr="00357B5D">
        <w:rPr>
          <w:sz w:val="24"/>
          <w:szCs w:val="24"/>
        </w:rPr>
        <w:t xml:space="preserve">  </w:t>
      </w:r>
    </w:p>
    <w:p w:rsidR="00743D1B" w:rsidRDefault="00F07FA1" w:rsidP="0047771F">
      <w:pPr>
        <w:rPr>
          <w:sz w:val="24"/>
          <w:szCs w:val="24"/>
        </w:rPr>
      </w:pPr>
      <w:r w:rsidRPr="00357B5D">
        <w:rPr>
          <w:sz w:val="24"/>
          <w:szCs w:val="24"/>
        </w:rPr>
        <w:tab/>
        <w:t>The core team will report to FDU’s senior leadership in December each year.  The core team will present ERM findings and recommendations each March to Board</w:t>
      </w:r>
      <w:r w:rsidR="00901DA8">
        <w:rPr>
          <w:sz w:val="24"/>
          <w:szCs w:val="24"/>
        </w:rPr>
        <w:t xml:space="preserve">’s Executive Committee. </w:t>
      </w:r>
      <w:r w:rsidR="00FD7DDB" w:rsidRPr="00357B5D">
        <w:rPr>
          <w:sz w:val="24"/>
          <w:szCs w:val="24"/>
        </w:rPr>
        <w:t xml:space="preserve"> Urgent matters may be escalated to senior leadership and the Board in between meetings, as appropriate. </w:t>
      </w:r>
    </w:p>
    <w:p w:rsidR="00743D1B" w:rsidRDefault="00743D1B" w:rsidP="0047771F">
      <w:pPr>
        <w:rPr>
          <w:i/>
          <w:sz w:val="24"/>
          <w:szCs w:val="24"/>
          <w:u w:val="single"/>
        </w:rPr>
      </w:pPr>
    </w:p>
    <w:p w:rsidR="000B6F25" w:rsidRPr="00357B5D" w:rsidRDefault="0047771F" w:rsidP="0047771F">
      <w:pPr>
        <w:rPr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Identifying risks and opportunities in each major functional unit</w:t>
      </w:r>
      <w:r w:rsidR="000B6F25" w:rsidRPr="00357B5D">
        <w:rPr>
          <w:sz w:val="24"/>
          <w:szCs w:val="24"/>
        </w:rPr>
        <w:t>:</w:t>
      </w:r>
    </w:p>
    <w:p w:rsidR="00266164" w:rsidRDefault="007723C3" w:rsidP="00BE038D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>Build</w:t>
      </w:r>
      <w:r w:rsidR="00157BAE" w:rsidRPr="00357B5D">
        <w:rPr>
          <w:sz w:val="24"/>
          <w:szCs w:val="24"/>
        </w:rPr>
        <w:t>ing</w:t>
      </w:r>
      <w:r w:rsidRPr="00357B5D">
        <w:rPr>
          <w:sz w:val="24"/>
          <w:szCs w:val="24"/>
        </w:rPr>
        <w:t xml:space="preserve"> upon</w:t>
      </w:r>
      <w:r w:rsidR="00157BAE" w:rsidRPr="00357B5D">
        <w:rPr>
          <w:sz w:val="24"/>
          <w:szCs w:val="24"/>
        </w:rPr>
        <w:t xml:space="preserve"> work done in prior years, as well as the results of the detailed reviews, the Steering Committee will prepare and update</w:t>
      </w:r>
      <w:r w:rsidR="00FE01CA" w:rsidRPr="00357B5D">
        <w:rPr>
          <w:sz w:val="24"/>
          <w:szCs w:val="24"/>
        </w:rPr>
        <w:t xml:space="preserve"> survey questions and topics for planned detailed reviews</w:t>
      </w:r>
      <w:r w:rsidR="00C7215E">
        <w:rPr>
          <w:sz w:val="24"/>
          <w:szCs w:val="24"/>
        </w:rPr>
        <w:t xml:space="preserve">.  The core team will compile </w:t>
      </w:r>
      <w:r w:rsidR="00FE01CA" w:rsidRPr="00357B5D">
        <w:rPr>
          <w:sz w:val="24"/>
          <w:szCs w:val="24"/>
        </w:rPr>
        <w:t xml:space="preserve">the results from </w:t>
      </w:r>
      <w:r w:rsidR="00E75B66">
        <w:rPr>
          <w:sz w:val="24"/>
          <w:szCs w:val="24"/>
        </w:rPr>
        <w:t>meetings and detailed</w:t>
      </w:r>
      <w:r w:rsidR="00FE01CA" w:rsidRPr="00357B5D">
        <w:rPr>
          <w:sz w:val="24"/>
          <w:szCs w:val="24"/>
        </w:rPr>
        <w:t xml:space="preserve"> review</w:t>
      </w:r>
      <w:r w:rsidR="00E75B66">
        <w:rPr>
          <w:sz w:val="24"/>
          <w:szCs w:val="24"/>
        </w:rPr>
        <w:t>s</w:t>
      </w:r>
      <w:r w:rsidR="00FE01CA" w:rsidRPr="00357B5D">
        <w:rPr>
          <w:sz w:val="24"/>
          <w:szCs w:val="24"/>
        </w:rPr>
        <w:t xml:space="preserve"> in an ERM Results Index.  The ERM Results Index will be updated at each meeting of the Steering Committee and will ultimately form the basis for </w:t>
      </w:r>
      <w:r w:rsidR="005F1EB8" w:rsidRPr="00357B5D">
        <w:rPr>
          <w:sz w:val="24"/>
          <w:szCs w:val="24"/>
        </w:rPr>
        <w:t xml:space="preserve">a revised Top 10 Net Residual Risks </w:t>
      </w:r>
      <w:r w:rsidR="003F5F2B">
        <w:rPr>
          <w:sz w:val="24"/>
          <w:szCs w:val="24"/>
        </w:rPr>
        <w:t xml:space="preserve">report </w:t>
      </w:r>
      <w:r w:rsidR="005F1EB8" w:rsidRPr="00357B5D">
        <w:rPr>
          <w:sz w:val="24"/>
          <w:szCs w:val="24"/>
        </w:rPr>
        <w:t xml:space="preserve">prepared each year.  </w:t>
      </w:r>
    </w:p>
    <w:p w:rsidR="00716BE9" w:rsidRPr="00357B5D" w:rsidRDefault="00222E65" w:rsidP="00854E6A">
      <w:pPr>
        <w:ind w:firstLine="720"/>
        <w:rPr>
          <w:i/>
          <w:sz w:val="24"/>
          <w:szCs w:val="24"/>
          <w:u w:val="single"/>
        </w:rPr>
      </w:pPr>
      <w:r w:rsidRPr="00357B5D">
        <w:rPr>
          <w:sz w:val="24"/>
          <w:szCs w:val="24"/>
        </w:rPr>
        <w:t xml:space="preserve"> </w:t>
      </w:r>
      <w:r w:rsidR="005828FF" w:rsidRPr="00357B5D">
        <w:rPr>
          <w:sz w:val="24"/>
          <w:szCs w:val="24"/>
        </w:rPr>
        <w:t xml:space="preserve"> </w:t>
      </w:r>
    </w:p>
    <w:p w:rsidR="000B6F25" w:rsidRPr="00357B5D" w:rsidRDefault="00A57547" w:rsidP="0047771F">
      <w:pPr>
        <w:rPr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Prioritizing key areas for attention</w:t>
      </w:r>
      <w:r w:rsidRPr="00357B5D">
        <w:rPr>
          <w:sz w:val="24"/>
          <w:szCs w:val="24"/>
        </w:rPr>
        <w:t xml:space="preserve">: </w:t>
      </w:r>
    </w:p>
    <w:p w:rsidR="00A57547" w:rsidRPr="00357B5D" w:rsidRDefault="000D2DA3" w:rsidP="00BE038D">
      <w:pPr>
        <w:ind w:firstLine="720"/>
        <w:rPr>
          <w:i/>
          <w:sz w:val="24"/>
          <w:szCs w:val="24"/>
        </w:rPr>
      </w:pPr>
      <w:r w:rsidRPr="00357B5D">
        <w:rPr>
          <w:sz w:val="24"/>
          <w:szCs w:val="24"/>
        </w:rPr>
        <w:t>The Steering Committee will develop a prioritized list of risk/opportunities areas for the short, medium, and long term</w:t>
      </w:r>
      <w:r w:rsidR="0058609D" w:rsidRPr="00357B5D">
        <w:rPr>
          <w:sz w:val="24"/>
          <w:szCs w:val="24"/>
        </w:rPr>
        <w:t xml:space="preserve">, based on urgency rating and ease of implementation. </w:t>
      </w:r>
      <w:r w:rsidRPr="00357B5D">
        <w:rPr>
          <w:sz w:val="24"/>
          <w:szCs w:val="24"/>
        </w:rPr>
        <w:t xml:space="preserve"> </w:t>
      </w:r>
      <w:r w:rsidR="00AD0D56" w:rsidRPr="00357B5D">
        <w:rPr>
          <w:sz w:val="24"/>
          <w:szCs w:val="24"/>
        </w:rPr>
        <w:t xml:space="preserve">This includes exploring the University’s risk </w:t>
      </w:r>
      <w:r w:rsidRPr="00357B5D">
        <w:rPr>
          <w:sz w:val="24"/>
          <w:szCs w:val="24"/>
        </w:rPr>
        <w:t xml:space="preserve"> </w:t>
      </w:r>
      <w:r w:rsidR="00AD0D56" w:rsidRPr="00357B5D">
        <w:rPr>
          <w:sz w:val="24"/>
          <w:szCs w:val="24"/>
        </w:rPr>
        <w:t xml:space="preserve">appetite, with the understanding that some risks may be acceptable due to financial and other inherent constraints.  </w:t>
      </w:r>
      <w:r w:rsidRPr="00357B5D">
        <w:rPr>
          <w:sz w:val="24"/>
          <w:szCs w:val="24"/>
        </w:rPr>
        <w:t>Risks and opportunities will be accorded an urgency rating</w:t>
      </w:r>
      <w:r w:rsidR="0058609D" w:rsidRPr="00357B5D">
        <w:rPr>
          <w:sz w:val="24"/>
          <w:szCs w:val="24"/>
        </w:rPr>
        <w:t xml:space="preserve">. </w:t>
      </w:r>
      <w:r w:rsidRPr="00357B5D">
        <w:rPr>
          <w:sz w:val="24"/>
          <w:szCs w:val="24"/>
        </w:rPr>
        <w:t xml:space="preserve">  </w:t>
      </w:r>
    </w:p>
    <w:p w:rsidR="00202F8E" w:rsidRPr="00357B5D" w:rsidRDefault="00202F8E" w:rsidP="0047771F">
      <w:pPr>
        <w:rPr>
          <w:i/>
          <w:sz w:val="24"/>
          <w:szCs w:val="24"/>
        </w:rPr>
      </w:pPr>
    </w:p>
    <w:p w:rsidR="00202F8E" w:rsidRPr="00357B5D" w:rsidRDefault="00202F8E" w:rsidP="0047771F">
      <w:pPr>
        <w:rPr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Developing a plan for addressing key risks and opportunities</w:t>
      </w:r>
      <w:r w:rsidRPr="00357B5D">
        <w:rPr>
          <w:sz w:val="24"/>
          <w:szCs w:val="24"/>
        </w:rPr>
        <w:t xml:space="preserve">: </w:t>
      </w:r>
    </w:p>
    <w:p w:rsidR="0041008B" w:rsidRDefault="00CE3942" w:rsidP="00BE038D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>The Steering Committee will develop a draft action plan for addressing short-term and medium-risk risks and opportunitie</w:t>
      </w:r>
      <w:r w:rsidR="009A63B9" w:rsidRPr="00357B5D">
        <w:rPr>
          <w:sz w:val="24"/>
          <w:szCs w:val="24"/>
        </w:rPr>
        <w:t xml:space="preserve">s.  </w:t>
      </w:r>
    </w:p>
    <w:p w:rsidR="00743D1B" w:rsidRPr="00357B5D" w:rsidRDefault="00743D1B" w:rsidP="0047771F">
      <w:pPr>
        <w:rPr>
          <w:sz w:val="24"/>
          <w:szCs w:val="24"/>
        </w:rPr>
      </w:pPr>
    </w:p>
    <w:p w:rsidR="00202F8E" w:rsidRPr="00357B5D" w:rsidRDefault="007A5723" w:rsidP="0047771F">
      <w:pPr>
        <w:rPr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Reporting the plan to senior leadership and Board of Trustees</w:t>
      </w:r>
      <w:r w:rsidR="00CC0418" w:rsidRPr="00357B5D">
        <w:rPr>
          <w:sz w:val="24"/>
          <w:szCs w:val="24"/>
        </w:rPr>
        <w:t xml:space="preserve">: </w:t>
      </w:r>
    </w:p>
    <w:p w:rsidR="00CC0418" w:rsidRPr="00357B5D" w:rsidRDefault="00CC0418" w:rsidP="00BE038D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 xml:space="preserve">The core group will report results to FDU’s senior leadership and </w:t>
      </w:r>
      <w:r w:rsidR="00835D8A">
        <w:rPr>
          <w:sz w:val="24"/>
          <w:szCs w:val="24"/>
        </w:rPr>
        <w:t xml:space="preserve">the </w:t>
      </w:r>
      <w:r w:rsidRPr="00357B5D">
        <w:rPr>
          <w:sz w:val="24"/>
          <w:szCs w:val="24"/>
        </w:rPr>
        <w:t>Board</w:t>
      </w:r>
      <w:r w:rsidR="00835D8A">
        <w:rPr>
          <w:sz w:val="24"/>
          <w:szCs w:val="24"/>
        </w:rPr>
        <w:t xml:space="preserve">’s </w:t>
      </w:r>
      <w:r w:rsidR="00901DA8">
        <w:rPr>
          <w:sz w:val="24"/>
          <w:szCs w:val="24"/>
        </w:rPr>
        <w:t xml:space="preserve">Executive Committee. </w:t>
      </w:r>
      <w:r w:rsidR="00835D8A">
        <w:rPr>
          <w:sz w:val="24"/>
          <w:szCs w:val="24"/>
        </w:rPr>
        <w:t xml:space="preserve"> Reported results will include a Top 10 Net Residual Risks table that contains an urgency rating and proposed action plan for each item. </w:t>
      </w:r>
      <w:r w:rsidRPr="00357B5D">
        <w:rPr>
          <w:sz w:val="24"/>
          <w:szCs w:val="24"/>
        </w:rPr>
        <w:t xml:space="preserve">  </w:t>
      </w:r>
    </w:p>
    <w:p w:rsidR="00B07401" w:rsidRDefault="00B07401" w:rsidP="000451F3">
      <w:pPr>
        <w:rPr>
          <w:sz w:val="24"/>
          <w:szCs w:val="24"/>
        </w:rPr>
      </w:pPr>
    </w:p>
    <w:p w:rsidR="00854E6A" w:rsidRPr="00357B5D" w:rsidRDefault="00854E6A" w:rsidP="000451F3">
      <w:pPr>
        <w:rPr>
          <w:sz w:val="24"/>
          <w:szCs w:val="24"/>
        </w:rPr>
      </w:pPr>
    </w:p>
    <w:p w:rsidR="00B07401" w:rsidRPr="00357B5D" w:rsidRDefault="00CC0418" w:rsidP="000451F3">
      <w:pPr>
        <w:rPr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Implementing the plan</w:t>
      </w:r>
      <w:r w:rsidRPr="00357B5D">
        <w:rPr>
          <w:sz w:val="24"/>
          <w:szCs w:val="24"/>
        </w:rPr>
        <w:t xml:space="preserve">: </w:t>
      </w:r>
    </w:p>
    <w:p w:rsidR="00CC0418" w:rsidRPr="00357B5D" w:rsidRDefault="00CC0418" w:rsidP="00BE038D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>Approved actions</w:t>
      </w:r>
      <w:r w:rsidR="002400CF" w:rsidRPr="00357B5D">
        <w:rPr>
          <w:sz w:val="24"/>
          <w:szCs w:val="24"/>
        </w:rPr>
        <w:t xml:space="preserve"> should be assigned to a core team of operational leaders who will oversee the implementation within their functional unit. </w:t>
      </w:r>
      <w:r w:rsidRPr="00357B5D">
        <w:rPr>
          <w:sz w:val="24"/>
          <w:szCs w:val="24"/>
        </w:rPr>
        <w:t xml:space="preserve"> Results will be communicated to the core team, and will be incorporated into updated ERM reports. </w:t>
      </w:r>
    </w:p>
    <w:p w:rsidR="00CC0418" w:rsidRPr="00357B5D" w:rsidRDefault="00CC0418" w:rsidP="00BE038D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 xml:space="preserve">Action plans will include delivery of training and educational materials to the applicable functional units, and as appropriate, larger segments of the entire FDU community. </w:t>
      </w:r>
    </w:p>
    <w:p w:rsidR="00CC0418" w:rsidRPr="00357B5D" w:rsidRDefault="00CC0418" w:rsidP="000451F3">
      <w:pPr>
        <w:rPr>
          <w:sz w:val="24"/>
          <w:szCs w:val="24"/>
        </w:rPr>
      </w:pPr>
    </w:p>
    <w:p w:rsidR="00B2650F" w:rsidRPr="00357B5D" w:rsidRDefault="00B2650F" w:rsidP="000451F3">
      <w:pPr>
        <w:rPr>
          <w:i/>
          <w:sz w:val="24"/>
          <w:szCs w:val="24"/>
        </w:rPr>
      </w:pPr>
      <w:r w:rsidRPr="00357B5D">
        <w:rPr>
          <w:i/>
          <w:sz w:val="24"/>
          <w:szCs w:val="24"/>
          <w:u w:val="single"/>
        </w:rPr>
        <w:t>Repeat</w:t>
      </w:r>
      <w:r w:rsidRPr="00357B5D">
        <w:rPr>
          <w:i/>
          <w:sz w:val="24"/>
          <w:szCs w:val="24"/>
        </w:rPr>
        <w:t xml:space="preserve">:  </w:t>
      </w:r>
    </w:p>
    <w:p w:rsidR="00B2650F" w:rsidRPr="00357B5D" w:rsidRDefault="00B2650F" w:rsidP="00BE038D">
      <w:pPr>
        <w:ind w:firstLine="720"/>
        <w:rPr>
          <w:sz w:val="24"/>
          <w:szCs w:val="24"/>
        </w:rPr>
      </w:pPr>
      <w:r w:rsidRPr="00357B5D">
        <w:rPr>
          <w:sz w:val="24"/>
          <w:szCs w:val="24"/>
        </w:rPr>
        <w:t xml:space="preserve">The process is intended to be continual, and will be </w:t>
      </w:r>
      <w:r w:rsidR="00BE038D">
        <w:rPr>
          <w:sz w:val="24"/>
          <w:szCs w:val="24"/>
        </w:rPr>
        <w:t xml:space="preserve">periodically </w:t>
      </w:r>
      <w:r w:rsidRPr="00357B5D">
        <w:rPr>
          <w:sz w:val="24"/>
          <w:szCs w:val="24"/>
        </w:rPr>
        <w:t xml:space="preserve">updated and refined </w:t>
      </w:r>
      <w:r w:rsidR="00BE038D">
        <w:rPr>
          <w:sz w:val="24"/>
          <w:szCs w:val="24"/>
        </w:rPr>
        <w:t xml:space="preserve">by the core team and Steering Committee. </w:t>
      </w:r>
      <w:r w:rsidRPr="00357B5D">
        <w:rPr>
          <w:sz w:val="24"/>
          <w:szCs w:val="24"/>
        </w:rPr>
        <w:t xml:space="preserve"> </w:t>
      </w:r>
    </w:p>
    <w:p w:rsidR="0010645B" w:rsidRPr="00357B5D" w:rsidRDefault="0010645B" w:rsidP="00A96060">
      <w:pPr>
        <w:spacing w:after="0" w:line="240" w:lineRule="auto"/>
        <w:rPr>
          <w:sz w:val="24"/>
          <w:szCs w:val="24"/>
        </w:rPr>
      </w:pPr>
    </w:p>
    <w:p w:rsidR="003414AF" w:rsidRPr="00C56C28" w:rsidRDefault="00A96060" w:rsidP="00CF1B0C">
      <w:pPr>
        <w:spacing w:after="0" w:line="240" w:lineRule="auto"/>
        <w:rPr>
          <w:u w:val="single"/>
        </w:rPr>
      </w:pPr>
      <w:r w:rsidRPr="00357B5D">
        <w:rPr>
          <w:sz w:val="24"/>
          <w:szCs w:val="24"/>
        </w:rPr>
        <w:t xml:space="preserve">May 8, 2020 </w:t>
      </w:r>
    </w:p>
    <w:sectPr w:rsidR="003414AF" w:rsidRPr="00C56C2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8C" w:rsidRDefault="007A5D8C" w:rsidP="003F40BD">
      <w:pPr>
        <w:spacing w:after="0" w:line="240" w:lineRule="auto"/>
      </w:pPr>
      <w:r>
        <w:separator/>
      </w:r>
    </w:p>
  </w:endnote>
  <w:endnote w:type="continuationSeparator" w:id="0">
    <w:p w:rsidR="007A5D8C" w:rsidRDefault="007A5D8C" w:rsidP="003F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438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2BD2" w:rsidRDefault="00EE2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D4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E2BD2" w:rsidRDefault="00EE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8C" w:rsidRDefault="007A5D8C" w:rsidP="003F40BD">
      <w:pPr>
        <w:spacing w:after="0" w:line="240" w:lineRule="auto"/>
      </w:pPr>
      <w:r>
        <w:separator/>
      </w:r>
    </w:p>
  </w:footnote>
  <w:footnote w:type="continuationSeparator" w:id="0">
    <w:p w:rsidR="007A5D8C" w:rsidRDefault="007A5D8C" w:rsidP="003F4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78C6"/>
    <w:multiLevelType w:val="hybridMultilevel"/>
    <w:tmpl w:val="63B8052C"/>
    <w:lvl w:ilvl="0" w:tplc="526C86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945E1"/>
    <w:multiLevelType w:val="hybridMultilevel"/>
    <w:tmpl w:val="AE9C47DC"/>
    <w:lvl w:ilvl="0" w:tplc="C9C2AF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9577B"/>
    <w:multiLevelType w:val="hybridMultilevel"/>
    <w:tmpl w:val="1020DB48"/>
    <w:lvl w:ilvl="0" w:tplc="D5C0AF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FB1DC6"/>
    <w:multiLevelType w:val="hybridMultilevel"/>
    <w:tmpl w:val="D7989662"/>
    <w:lvl w:ilvl="0" w:tplc="D7CAE0C0">
      <w:start w:val="4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F4"/>
    <w:rsid w:val="00002442"/>
    <w:rsid w:val="00011652"/>
    <w:rsid w:val="00025CB4"/>
    <w:rsid w:val="0003123F"/>
    <w:rsid w:val="0003189F"/>
    <w:rsid w:val="00033B10"/>
    <w:rsid w:val="00034ED9"/>
    <w:rsid w:val="000411DB"/>
    <w:rsid w:val="00041F06"/>
    <w:rsid w:val="00044F89"/>
    <w:rsid w:val="000451F3"/>
    <w:rsid w:val="00046E98"/>
    <w:rsid w:val="000474FF"/>
    <w:rsid w:val="00047715"/>
    <w:rsid w:val="00060BB1"/>
    <w:rsid w:val="00067B8C"/>
    <w:rsid w:val="00077A4C"/>
    <w:rsid w:val="000874EF"/>
    <w:rsid w:val="000948A7"/>
    <w:rsid w:val="00094956"/>
    <w:rsid w:val="000960C9"/>
    <w:rsid w:val="000A2977"/>
    <w:rsid w:val="000B6F25"/>
    <w:rsid w:val="000C746A"/>
    <w:rsid w:val="000D2DA3"/>
    <w:rsid w:val="000D2F53"/>
    <w:rsid w:val="000D349F"/>
    <w:rsid w:val="0010645B"/>
    <w:rsid w:val="00113BDA"/>
    <w:rsid w:val="00122077"/>
    <w:rsid w:val="0012558D"/>
    <w:rsid w:val="00131B63"/>
    <w:rsid w:val="00134A5F"/>
    <w:rsid w:val="00141442"/>
    <w:rsid w:val="0015189A"/>
    <w:rsid w:val="001545CB"/>
    <w:rsid w:val="00157BAE"/>
    <w:rsid w:val="00171064"/>
    <w:rsid w:val="0017666D"/>
    <w:rsid w:val="001832F7"/>
    <w:rsid w:val="00184E8B"/>
    <w:rsid w:val="0018596A"/>
    <w:rsid w:val="001A3410"/>
    <w:rsid w:val="001A5393"/>
    <w:rsid w:val="001A60E9"/>
    <w:rsid w:val="001B25A8"/>
    <w:rsid w:val="001B33F8"/>
    <w:rsid w:val="001D7781"/>
    <w:rsid w:val="002022F1"/>
    <w:rsid w:val="00202F8E"/>
    <w:rsid w:val="00222E65"/>
    <w:rsid w:val="0022316B"/>
    <w:rsid w:val="00225196"/>
    <w:rsid w:val="00225F87"/>
    <w:rsid w:val="002377A4"/>
    <w:rsid w:val="002400CF"/>
    <w:rsid w:val="0024481D"/>
    <w:rsid w:val="002516B6"/>
    <w:rsid w:val="00251DC6"/>
    <w:rsid w:val="002551A8"/>
    <w:rsid w:val="00264E7F"/>
    <w:rsid w:val="00266164"/>
    <w:rsid w:val="00272B45"/>
    <w:rsid w:val="0027445F"/>
    <w:rsid w:val="00281D51"/>
    <w:rsid w:val="00285EB6"/>
    <w:rsid w:val="00295088"/>
    <w:rsid w:val="00296952"/>
    <w:rsid w:val="002B11AF"/>
    <w:rsid w:val="002B68A7"/>
    <w:rsid w:val="002C0FC5"/>
    <w:rsid w:val="002C1690"/>
    <w:rsid w:val="002D6385"/>
    <w:rsid w:val="002D64C3"/>
    <w:rsid w:val="002D6F69"/>
    <w:rsid w:val="002E0981"/>
    <w:rsid w:val="002E0EF0"/>
    <w:rsid w:val="002E7359"/>
    <w:rsid w:val="002F2459"/>
    <w:rsid w:val="002F29E4"/>
    <w:rsid w:val="002F79A5"/>
    <w:rsid w:val="00311333"/>
    <w:rsid w:val="00312F91"/>
    <w:rsid w:val="0031323F"/>
    <w:rsid w:val="00316EE9"/>
    <w:rsid w:val="003170AF"/>
    <w:rsid w:val="00322AF3"/>
    <w:rsid w:val="00330DE7"/>
    <w:rsid w:val="003322E0"/>
    <w:rsid w:val="00332844"/>
    <w:rsid w:val="003414AF"/>
    <w:rsid w:val="0034472D"/>
    <w:rsid w:val="00346E44"/>
    <w:rsid w:val="00357B5D"/>
    <w:rsid w:val="00366F9E"/>
    <w:rsid w:val="00371A63"/>
    <w:rsid w:val="00373CB5"/>
    <w:rsid w:val="00375070"/>
    <w:rsid w:val="00381D45"/>
    <w:rsid w:val="00384E38"/>
    <w:rsid w:val="00391798"/>
    <w:rsid w:val="00391BCB"/>
    <w:rsid w:val="003B1135"/>
    <w:rsid w:val="003B2279"/>
    <w:rsid w:val="003B25AA"/>
    <w:rsid w:val="003B5605"/>
    <w:rsid w:val="003B6AD5"/>
    <w:rsid w:val="003C26EC"/>
    <w:rsid w:val="003C2C0B"/>
    <w:rsid w:val="003C3A07"/>
    <w:rsid w:val="003C5AE0"/>
    <w:rsid w:val="003D0060"/>
    <w:rsid w:val="003D3821"/>
    <w:rsid w:val="003D46AC"/>
    <w:rsid w:val="003D47D0"/>
    <w:rsid w:val="003D719F"/>
    <w:rsid w:val="003F40BD"/>
    <w:rsid w:val="003F5F2B"/>
    <w:rsid w:val="003F79A5"/>
    <w:rsid w:val="00400473"/>
    <w:rsid w:val="0040562A"/>
    <w:rsid w:val="0040562C"/>
    <w:rsid w:val="0040709A"/>
    <w:rsid w:val="0041008B"/>
    <w:rsid w:val="00416C9C"/>
    <w:rsid w:val="00427EC7"/>
    <w:rsid w:val="00453D04"/>
    <w:rsid w:val="00455D59"/>
    <w:rsid w:val="00466B3D"/>
    <w:rsid w:val="00466FF9"/>
    <w:rsid w:val="004744DF"/>
    <w:rsid w:val="0047771F"/>
    <w:rsid w:val="004949AA"/>
    <w:rsid w:val="004A3939"/>
    <w:rsid w:val="004B0852"/>
    <w:rsid w:val="004B109F"/>
    <w:rsid w:val="004B2658"/>
    <w:rsid w:val="004C45DE"/>
    <w:rsid w:val="004D3C62"/>
    <w:rsid w:val="004D641E"/>
    <w:rsid w:val="004F34E3"/>
    <w:rsid w:val="00516BE4"/>
    <w:rsid w:val="00520160"/>
    <w:rsid w:val="00522E08"/>
    <w:rsid w:val="00526467"/>
    <w:rsid w:val="00541D57"/>
    <w:rsid w:val="0054568E"/>
    <w:rsid w:val="005459E3"/>
    <w:rsid w:val="005479A0"/>
    <w:rsid w:val="00563D88"/>
    <w:rsid w:val="0056575C"/>
    <w:rsid w:val="00574215"/>
    <w:rsid w:val="00577366"/>
    <w:rsid w:val="005828FF"/>
    <w:rsid w:val="0058609D"/>
    <w:rsid w:val="005A1466"/>
    <w:rsid w:val="005C4AC3"/>
    <w:rsid w:val="005C5343"/>
    <w:rsid w:val="005D1AFA"/>
    <w:rsid w:val="005E3CA3"/>
    <w:rsid w:val="005F1EB8"/>
    <w:rsid w:val="005F61C2"/>
    <w:rsid w:val="0063685F"/>
    <w:rsid w:val="00650AAD"/>
    <w:rsid w:val="00652146"/>
    <w:rsid w:val="006564BC"/>
    <w:rsid w:val="006745FC"/>
    <w:rsid w:val="00683C8D"/>
    <w:rsid w:val="006854E6"/>
    <w:rsid w:val="006858EA"/>
    <w:rsid w:val="00686238"/>
    <w:rsid w:val="0068721D"/>
    <w:rsid w:val="00693905"/>
    <w:rsid w:val="006968FA"/>
    <w:rsid w:val="006A1769"/>
    <w:rsid w:val="006A3EDC"/>
    <w:rsid w:val="006A5F66"/>
    <w:rsid w:val="006E33A2"/>
    <w:rsid w:val="006E4BFA"/>
    <w:rsid w:val="006F1785"/>
    <w:rsid w:val="006F17D5"/>
    <w:rsid w:val="006F1981"/>
    <w:rsid w:val="006F54F3"/>
    <w:rsid w:val="00700BAE"/>
    <w:rsid w:val="00707E53"/>
    <w:rsid w:val="00712FEB"/>
    <w:rsid w:val="00716BE9"/>
    <w:rsid w:val="00721305"/>
    <w:rsid w:val="00724BAD"/>
    <w:rsid w:val="00725144"/>
    <w:rsid w:val="00726C50"/>
    <w:rsid w:val="00732807"/>
    <w:rsid w:val="00733BED"/>
    <w:rsid w:val="007423BF"/>
    <w:rsid w:val="00743D1B"/>
    <w:rsid w:val="0074486E"/>
    <w:rsid w:val="00764F7C"/>
    <w:rsid w:val="0077155C"/>
    <w:rsid w:val="007716B0"/>
    <w:rsid w:val="007716D3"/>
    <w:rsid w:val="007723C3"/>
    <w:rsid w:val="007727D2"/>
    <w:rsid w:val="00777FFD"/>
    <w:rsid w:val="0078669E"/>
    <w:rsid w:val="00791052"/>
    <w:rsid w:val="007A19B6"/>
    <w:rsid w:val="007A237D"/>
    <w:rsid w:val="007A5723"/>
    <w:rsid w:val="007A5D8C"/>
    <w:rsid w:val="007A6B06"/>
    <w:rsid w:val="007C31D4"/>
    <w:rsid w:val="007C4F26"/>
    <w:rsid w:val="007E4ADB"/>
    <w:rsid w:val="007E5F44"/>
    <w:rsid w:val="007F0326"/>
    <w:rsid w:val="007F13CD"/>
    <w:rsid w:val="007F5FD1"/>
    <w:rsid w:val="00801E1F"/>
    <w:rsid w:val="00802DF2"/>
    <w:rsid w:val="00813288"/>
    <w:rsid w:val="0081560A"/>
    <w:rsid w:val="00816C6C"/>
    <w:rsid w:val="0081782B"/>
    <w:rsid w:val="008231DE"/>
    <w:rsid w:val="00832B36"/>
    <w:rsid w:val="00835D8A"/>
    <w:rsid w:val="00851602"/>
    <w:rsid w:val="00854E6A"/>
    <w:rsid w:val="00863419"/>
    <w:rsid w:val="00863D06"/>
    <w:rsid w:val="00874610"/>
    <w:rsid w:val="00874CD3"/>
    <w:rsid w:val="00877298"/>
    <w:rsid w:val="008808D9"/>
    <w:rsid w:val="008838E9"/>
    <w:rsid w:val="00885E44"/>
    <w:rsid w:val="008929D6"/>
    <w:rsid w:val="00895E21"/>
    <w:rsid w:val="008C7F56"/>
    <w:rsid w:val="008D2468"/>
    <w:rsid w:val="008E4B8C"/>
    <w:rsid w:val="008F64AD"/>
    <w:rsid w:val="00901DA8"/>
    <w:rsid w:val="00902638"/>
    <w:rsid w:val="00904B13"/>
    <w:rsid w:val="00905446"/>
    <w:rsid w:val="00910CAB"/>
    <w:rsid w:val="0091271E"/>
    <w:rsid w:val="009134FC"/>
    <w:rsid w:val="009148B9"/>
    <w:rsid w:val="009267D0"/>
    <w:rsid w:val="00926FA1"/>
    <w:rsid w:val="00933B87"/>
    <w:rsid w:val="009379C0"/>
    <w:rsid w:val="00945051"/>
    <w:rsid w:val="00967BA2"/>
    <w:rsid w:val="00977103"/>
    <w:rsid w:val="00977C0E"/>
    <w:rsid w:val="009A09AB"/>
    <w:rsid w:val="009A63B9"/>
    <w:rsid w:val="009A776C"/>
    <w:rsid w:val="009B20B7"/>
    <w:rsid w:val="009B734F"/>
    <w:rsid w:val="009C3E24"/>
    <w:rsid w:val="009D5A16"/>
    <w:rsid w:val="009E3594"/>
    <w:rsid w:val="009E58A7"/>
    <w:rsid w:val="009E724D"/>
    <w:rsid w:val="009F07A9"/>
    <w:rsid w:val="00A027D0"/>
    <w:rsid w:val="00A04565"/>
    <w:rsid w:val="00A14C68"/>
    <w:rsid w:val="00A4420C"/>
    <w:rsid w:val="00A47984"/>
    <w:rsid w:val="00A55F17"/>
    <w:rsid w:val="00A574FD"/>
    <w:rsid w:val="00A57547"/>
    <w:rsid w:val="00A60D63"/>
    <w:rsid w:val="00A70FCF"/>
    <w:rsid w:val="00A7278C"/>
    <w:rsid w:val="00A92626"/>
    <w:rsid w:val="00A92A91"/>
    <w:rsid w:val="00A96060"/>
    <w:rsid w:val="00AA1191"/>
    <w:rsid w:val="00AA4F07"/>
    <w:rsid w:val="00AA64D0"/>
    <w:rsid w:val="00AB01F1"/>
    <w:rsid w:val="00AB0927"/>
    <w:rsid w:val="00AB0DDC"/>
    <w:rsid w:val="00AB1958"/>
    <w:rsid w:val="00AB7D7A"/>
    <w:rsid w:val="00AC0EFE"/>
    <w:rsid w:val="00AC13A7"/>
    <w:rsid w:val="00AD0D56"/>
    <w:rsid w:val="00AE080F"/>
    <w:rsid w:val="00AE5C99"/>
    <w:rsid w:val="00AF013C"/>
    <w:rsid w:val="00AF1904"/>
    <w:rsid w:val="00B03B63"/>
    <w:rsid w:val="00B05494"/>
    <w:rsid w:val="00B07401"/>
    <w:rsid w:val="00B1097B"/>
    <w:rsid w:val="00B25B0A"/>
    <w:rsid w:val="00B2650F"/>
    <w:rsid w:val="00B30EA4"/>
    <w:rsid w:val="00B571F4"/>
    <w:rsid w:val="00B67041"/>
    <w:rsid w:val="00B77926"/>
    <w:rsid w:val="00B82D6E"/>
    <w:rsid w:val="00B90C42"/>
    <w:rsid w:val="00BB5519"/>
    <w:rsid w:val="00BC157F"/>
    <w:rsid w:val="00BC795A"/>
    <w:rsid w:val="00BD337E"/>
    <w:rsid w:val="00BD74F8"/>
    <w:rsid w:val="00BE038D"/>
    <w:rsid w:val="00BE408F"/>
    <w:rsid w:val="00BE4E80"/>
    <w:rsid w:val="00BF0763"/>
    <w:rsid w:val="00BF15E8"/>
    <w:rsid w:val="00BF4D2A"/>
    <w:rsid w:val="00BF5686"/>
    <w:rsid w:val="00C06699"/>
    <w:rsid w:val="00C11902"/>
    <w:rsid w:val="00C13AA3"/>
    <w:rsid w:val="00C40B9E"/>
    <w:rsid w:val="00C4548F"/>
    <w:rsid w:val="00C47712"/>
    <w:rsid w:val="00C51C93"/>
    <w:rsid w:val="00C52566"/>
    <w:rsid w:val="00C5689D"/>
    <w:rsid w:val="00C56C28"/>
    <w:rsid w:val="00C57A91"/>
    <w:rsid w:val="00C61794"/>
    <w:rsid w:val="00C61AC0"/>
    <w:rsid w:val="00C631C9"/>
    <w:rsid w:val="00C70D75"/>
    <w:rsid w:val="00C7215E"/>
    <w:rsid w:val="00C75524"/>
    <w:rsid w:val="00C75F51"/>
    <w:rsid w:val="00C764A0"/>
    <w:rsid w:val="00C808E2"/>
    <w:rsid w:val="00C861C4"/>
    <w:rsid w:val="00C8644D"/>
    <w:rsid w:val="00C95815"/>
    <w:rsid w:val="00CA0FBD"/>
    <w:rsid w:val="00CC0418"/>
    <w:rsid w:val="00CC2446"/>
    <w:rsid w:val="00CD2E5D"/>
    <w:rsid w:val="00CD3201"/>
    <w:rsid w:val="00CD7876"/>
    <w:rsid w:val="00CE2F3D"/>
    <w:rsid w:val="00CE3942"/>
    <w:rsid w:val="00CE7A2E"/>
    <w:rsid w:val="00CF1B0C"/>
    <w:rsid w:val="00CF5048"/>
    <w:rsid w:val="00CF594E"/>
    <w:rsid w:val="00CF65BC"/>
    <w:rsid w:val="00D11BA2"/>
    <w:rsid w:val="00D25B9B"/>
    <w:rsid w:val="00D26A22"/>
    <w:rsid w:val="00D274EA"/>
    <w:rsid w:val="00D516BB"/>
    <w:rsid w:val="00D5262D"/>
    <w:rsid w:val="00D7260C"/>
    <w:rsid w:val="00D76A38"/>
    <w:rsid w:val="00D82953"/>
    <w:rsid w:val="00DA0964"/>
    <w:rsid w:val="00DA11C1"/>
    <w:rsid w:val="00DA6848"/>
    <w:rsid w:val="00DB4668"/>
    <w:rsid w:val="00DC1064"/>
    <w:rsid w:val="00DC460D"/>
    <w:rsid w:val="00DC5E1C"/>
    <w:rsid w:val="00DE61E2"/>
    <w:rsid w:val="00DE6B70"/>
    <w:rsid w:val="00DF0251"/>
    <w:rsid w:val="00E130DB"/>
    <w:rsid w:val="00E13A2C"/>
    <w:rsid w:val="00E141DF"/>
    <w:rsid w:val="00E26355"/>
    <w:rsid w:val="00E37F80"/>
    <w:rsid w:val="00E4309C"/>
    <w:rsid w:val="00E47A0B"/>
    <w:rsid w:val="00E568CD"/>
    <w:rsid w:val="00E56BE8"/>
    <w:rsid w:val="00E64B4F"/>
    <w:rsid w:val="00E728FB"/>
    <w:rsid w:val="00E75B66"/>
    <w:rsid w:val="00E820B2"/>
    <w:rsid w:val="00EE1687"/>
    <w:rsid w:val="00EE2BD2"/>
    <w:rsid w:val="00EE483E"/>
    <w:rsid w:val="00F0025C"/>
    <w:rsid w:val="00F00F05"/>
    <w:rsid w:val="00F019B3"/>
    <w:rsid w:val="00F07FA1"/>
    <w:rsid w:val="00F250D4"/>
    <w:rsid w:val="00F26FD4"/>
    <w:rsid w:val="00F3104A"/>
    <w:rsid w:val="00F3558C"/>
    <w:rsid w:val="00F470C0"/>
    <w:rsid w:val="00F5428B"/>
    <w:rsid w:val="00F564D7"/>
    <w:rsid w:val="00F61DC9"/>
    <w:rsid w:val="00F67248"/>
    <w:rsid w:val="00F73D48"/>
    <w:rsid w:val="00F813AB"/>
    <w:rsid w:val="00F91DB2"/>
    <w:rsid w:val="00F936FA"/>
    <w:rsid w:val="00FB4299"/>
    <w:rsid w:val="00FB57C4"/>
    <w:rsid w:val="00FB793F"/>
    <w:rsid w:val="00FC0FD9"/>
    <w:rsid w:val="00FC24AE"/>
    <w:rsid w:val="00FD39FF"/>
    <w:rsid w:val="00FD4173"/>
    <w:rsid w:val="00FD59C3"/>
    <w:rsid w:val="00FD7DDB"/>
    <w:rsid w:val="00FE01CA"/>
    <w:rsid w:val="00FE1524"/>
    <w:rsid w:val="00FE5D45"/>
    <w:rsid w:val="00FE780E"/>
    <w:rsid w:val="00FF30D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4E34"/>
  <w15:chartTrackingRefBased/>
  <w15:docId w15:val="{35F96B63-5B1F-4EA7-804B-98DF41E9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D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F4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40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CB5"/>
  </w:style>
  <w:style w:type="paragraph" w:styleId="Footer">
    <w:name w:val="footer"/>
    <w:basedOn w:val="Normal"/>
    <w:link w:val="FooterChar"/>
    <w:uiPriority w:val="99"/>
    <w:unhideWhenUsed/>
    <w:rsid w:val="0037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CB5"/>
  </w:style>
  <w:style w:type="paragraph" w:styleId="BalloonText">
    <w:name w:val="Balloon Text"/>
    <w:basedOn w:val="Normal"/>
    <w:link w:val="BalloonTextChar"/>
    <w:uiPriority w:val="99"/>
    <w:semiHidden/>
    <w:unhideWhenUsed/>
    <w:rsid w:val="0040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1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D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8A4F09-4CBF-444C-86D4-11610EBB41E0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0F0EC6-A727-40EE-903A-4BCDC90942BE}">
      <dgm:prSet phldrT="[Text]" custT="1"/>
      <dgm:spPr>
        <a:xfrm>
          <a:off x="43110" y="428980"/>
          <a:ext cx="1481577" cy="1037056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Steering Committee </a:t>
          </a:r>
        </a:p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(every 2 months)</a:t>
          </a:r>
        </a:p>
      </dgm:t>
    </dgm:pt>
    <dgm:pt modelId="{0CE055D4-78D0-4F88-9DB2-97A9BF8CF849}" type="parTrans" cxnId="{C9FFC83D-B6A3-4EC3-984F-0A7B8EF9A371}">
      <dgm:prSet/>
      <dgm:spPr/>
      <dgm:t>
        <a:bodyPr/>
        <a:lstStyle/>
        <a:p>
          <a:endParaRPr lang="en-US" sz="1200" baseline="0"/>
        </a:p>
      </dgm:t>
    </dgm:pt>
    <dgm:pt modelId="{7DDEC13F-81FA-4C9E-A7F9-96820CC83EFB}" type="sibTrans" cxnId="{C9FFC83D-B6A3-4EC3-984F-0A7B8EF9A371}">
      <dgm:prSet/>
      <dgm:spPr/>
      <dgm:t>
        <a:bodyPr/>
        <a:lstStyle/>
        <a:p>
          <a:endParaRPr lang="en-US" sz="1200" baseline="0"/>
        </a:p>
      </dgm:t>
    </dgm:pt>
    <dgm:pt modelId="{C75D4A09-AD64-499C-94FB-E4D9CE92E7A0}">
      <dgm:prSet phldrT="[Text]" custT="1"/>
      <dgm:spPr>
        <a:xfrm>
          <a:off x="100712" y="3323724"/>
          <a:ext cx="1516857" cy="7906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en-US" sz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20964EA-D6C2-4700-BEB8-919762D95986}" type="parTrans" cxnId="{42FEF6DC-AC94-42FE-B05A-AF671F3E6C70}">
      <dgm:prSet/>
      <dgm:spPr/>
      <dgm:t>
        <a:bodyPr/>
        <a:lstStyle/>
        <a:p>
          <a:endParaRPr lang="en-US" sz="1200" baseline="0"/>
        </a:p>
      </dgm:t>
    </dgm:pt>
    <dgm:pt modelId="{1B37E4D8-1493-41B5-B079-0C5C32CA6E7A}" type="sibTrans" cxnId="{42FEF6DC-AC94-42FE-B05A-AF671F3E6C70}">
      <dgm:prSet/>
      <dgm:spPr/>
      <dgm:t>
        <a:bodyPr/>
        <a:lstStyle/>
        <a:p>
          <a:endParaRPr lang="en-US" sz="1200" baseline="0"/>
        </a:p>
      </dgm:t>
    </dgm:pt>
    <dgm:pt modelId="{DF0CB72C-A0FD-4760-B477-E345A04278C9}">
      <dgm:prSet phldrT="[Text]" custT="1"/>
      <dgm:spPr>
        <a:xfrm>
          <a:off x="2744749" y="680992"/>
          <a:ext cx="1481577" cy="1037056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Deep Dive</a:t>
          </a:r>
        </a:p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Functional Unit</a:t>
          </a:r>
        </a:p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(every 6 weeks)</a:t>
          </a:r>
        </a:p>
      </dgm:t>
    </dgm:pt>
    <dgm:pt modelId="{0504B877-FE93-427A-84DE-F0DF413A35D6}" type="parTrans" cxnId="{D5D9E0D9-C777-4FFE-B4E7-425620523812}">
      <dgm:prSet/>
      <dgm:spPr/>
      <dgm:t>
        <a:bodyPr/>
        <a:lstStyle/>
        <a:p>
          <a:endParaRPr lang="en-US" sz="1200" baseline="0"/>
        </a:p>
      </dgm:t>
    </dgm:pt>
    <dgm:pt modelId="{916A56DB-F3C0-4956-8AAF-3BFC671D8A23}" type="sibTrans" cxnId="{D5D9E0D9-C777-4FFE-B4E7-425620523812}">
      <dgm:prSet/>
      <dgm:spPr/>
      <dgm:t>
        <a:bodyPr/>
        <a:lstStyle/>
        <a:p>
          <a:endParaRPr lang="en-US" sz="1200" baseline="0"/>
        </a:p>
      </dgm:t>
    </dgm:pt>
    <dgm:pt modelId="{F6B41ECB-EB8E-44C9-B807-492932CE809B}">
      <dgm:prSet phldrT="[Text]" custT="1"/>
      <dgm:spPr>
        <a:xfrm>
          <a:off x="2726355" y="1752208"/>
          <a:ext cx="1794447" cy="531390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endParaRPr lang="en-US" sz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3D9796-8160-4147-BF59-5DC200A59443}" type="parTrans" cxnId="{35888C05-95CD-4DC4-8879-D264CF7C0EEE}">
      <dgm:prSet/>
      <dgm:spPr/>
      <dgm:t>
        <a:bodyPr/>
        <a:lstStyle/>
        <a:p>
          <a:endParaRPr lang="en-US" sz="1200" baseline="0"/>
        </a:p>
      </dgm:t>
    </dgm:pt>
    <dgm:pt modelId="{3EA7B7FA-5594-4479-B230-6B06B5A0689F}" type="sibTrans" cxnId="{35888C05-95CD-4DC4-8879-D264CF7C0EEE}">
      <dgm:prSet/>
      <dgm:spPr/>
      <dgm:t>
        <a:bodyPr/>
        <a:lstStyle/>
        <a:p>
          <a:endParaRPr lang="en-US" sz="1200" baseline="0"/>
        </a:p>
      </dgm:t>
    </dgm:pt>
    <dgm:pt modelId="{831DEFBA-3B78-43AE-A6AE-722F79B67935}">
      <dgm:prSet phldrT="[Text]" custT="1"/>
      <dgm:spPr>
        <a:xfrm>
          <a:off x="3242171" y="2482933"/>
          <a:ext cx="1481577" cy="1037056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Senior Leadership</a:t>
          </a:r>
        </a:p>
        <a:p>
          <a:pPr>
            <a:buNone/>
          </a:pPr>
          <a:endParaRPr lang="en-US" sz="1200" baseline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9D8E1D8-5A8B-4802-B9F4-5E15D67E42F9}" type="parTrans" cxnId="{68EB17FB-C120-4B5A-A1E4-5E61A5DE9C27}">
      <dgm:prSet/>
      <dgm:spPr/>
      <dgm:t>
        <a:bodyPr/>
        <a:lstStyle/>
        <a:p>
          <a:endParaRPr lang="en-US" sz="1200" baseline="0"/>
        </a:p>
      </dgm:t>
    </dgm:pt>
    <dgm:pt modelId="{2A622C96-43A9-47F6-999C-2CD9038873FF}" type="sibTrans" cxnId="{68EB17FB-C120-4B5A-A1E4-5E61A5DE9C27}">
      <dgm:prSet/>
      <dgm:spPr/>
      <dgm:t>
        <a:bodyPr/>
        <a:lstStyle/>
        <a:p>
          <a:endParaRPr lang="en-US" sz="1200" baseline="0"/>
        </a:p>
      </dgm:t>
    </dgm:pt>
    <dgm:pt modelId="{4A526A3C-F389-49EF-B49C-A873CBB718F1}">
      <dgm:prSet phldrT="[Text]" custT="1"/>
      <dgm:spPr>
        <a:xfrm>
          <a:off x="3260333" y="4301357"/>
          <a:ext cx="1481577" cy="1037056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BOT</a:t>
          </a:r>
        </a:p>
        <a:p>
          <a:pPr>
            <a:buNone/>
          </a:pPr>
          <a:r>
            <a:rPr lang="en-US" sz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(March)</a:t>
          </a:r>
        </a:p>
      </dgm:t>
    </dgm:pt>
    <dgm:pt modelId="{FA2313F6-4F28-4CC8-B0AE-8AC2C5D7ACA5}" type="parTrans" cxnId="{36F6FAF4-F9AF-490B-96D0-7153A08D1ACF}">
      <dgm:prSet/>
      <dgm:spPr/>
      <dgm:t>
        <a:bodyPr/>
        <a:lstStyle/>
        <a:p>
          <a:endParaRPr lang="en-US"/>
        </a:p>
      </dgm:t>
    </dgm:pt>
    <dgm:pt modelId="{C850015D-207C-4C0B-ACC9-17B914F339FB}" type="sibTrans" cxnId="{36F6FAF4-F9AF-490B-96D0-7153A08D1ACF}">
      <dgm:prSet/>
      <dgm:spPr/>
      <dgm:t>
        <a:bodyPr/>
        <a:lstStyle/>
        <a:p>
          <a:endParaRPr lang="en-US"/>
        </a:p>
      </dgm:t>
    </dgm:pt>
    <dgm:pt modelId="{71AF7C3A-F20F-49EB-86E2-445F266CF069}">
      <dgm:prSet phldrT="[Text]" custT="1"/>
      <dgm:spPr>
        <a:xfrm>
          <a:off x="1654630" y="1591316"/>
          <a:ext cx="1104271" cy="196981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4E1F9113-4CAA-4F67-8F81-FD5261B85E2D}" type="parTrans" cxnId="{D8702CB9-4321-4A0C-A8EA-39D6F8C8D10A}">
      <dgm:prSet/>
      <dgm:spPr/>
      <dgm:t>
        <a:bodyPr/>
        <a:lstStyle/>
        <a:p>
          <a:endParaRPr lang="en-US"/>
        </a:p>
      </dgm:t>
    </dgm:pt>
    <dgm:pt modelId="{256E1A58-BD33-4417-8234-EC7D86562B5A}" type="sibTrans" cxnId="{D8702CB9-4321-4A0C-A8EA-39D6F8C8D10A}">
      <dgm:prSet/>
      <dgm:spPr/>
      <dgm:t>
        <a:bodyPr/>
        <a:lstStyle/>
        <a:p>
          <a:endParaRPr lang="en-US"/>
        </a:p>
      </dgm:t>
    </dgm:pt>
    <dgm:pt modelId="{BF554FC5-FF8F-417C-81F5-C33FD574783C}">
      <dgm:prSet phldrT="[Text]" custT="1"/>
      <dgm:spPr>
        <a:xfrm>
          <a:off x="1654630" y="1591316"/>
          <a:ext cx="1104271" cy="196981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en-US" sz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F07A5BD5-474D-4A97-BDE6-EE1F8A0A91E0}" type="parTrans" cxnId="{88ECB60D-67B5-4D5F-8C3A-6E7E5356C205}">
      <dgm:prSet/>
      <dgm:spPr/>
      <dgm:t>
        <a:bodyPr/>
        <a:lstStyle/>
        <a:p>
          <a:endParaRPr lang="en-US"/>
        </a:p>
      </dgm:t>
    </dgm:pt>
    <dgm:pt modelId="{E8BE1FBE-1249-480F-8F64-21CC9E054793}" type="sibTrans" cxnId="{88ECB60D-67B5-4D5F-8C3A-6E7E5356C205}">
      <dgm:prSet/>
      <dgm:spPr/>
      <dgm:t>
        <a:bodyPr/>
        <a:lstStyle/>
        <a:p>
          <a:endParaRPr lang="en-US"/>
        </a:p>
      </dgm:t>
    </dgm:pt>
    <dgm:pt modelId="{5148E928-E340-4431-B232-9F441BAE752E}">
      <dgm:prSet phldrT="[Text]" custT="1"/>
      <dgm:spPr>
        <a:xfrm>
          <a:off x="100712" y="3323724"/>
          <a:ext cx="1516857" cy="79060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en-US" sz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B02EE5D-04D8-4881-8390-B12D17285AB5}" type="sibTrans" cxnId="{41906932-F782-44B0-8AFC-CDBF137A2F6F}">
      <dgm:prSet/>
      <dgm:spPr/>
      <dgm:t>
        <a:bodyPr/>
        <a:lstStyle/>
        <a:p>
          <a:endParaRPr lang="en-US"/>
        </a:p>
      </dgm:t>
    </dgm:pt>
    <dgm:pt modelId="{9CFEBE84-5011-47DB-9529-486EFD4561A6}" type="parTrans" cxnId="{41906932-F782-44B0-8AFC-CDBF137A2F6F}">
      <dgm:prSet/>
      <dgm:spPr/>
      <dgm:t>
        <a:bodyPr/>
        <a:lstStyle/>
        <a:p>
          <a:endParaRPr lang="en-US"/>
        </a:p>
      </dgm:t>
    </dgm:pt>
    <dgm:pt modelId="{8B60E74B-7705-440B-B3DB-3A1D4C64FB31}">
      <dgm:prSet phldrT="[Text]" custT="1"/>
      <dgm:spPr>
        <a:xfrm>
          <a:off x="1654630" y="1591316"/>
          <a:ext cx="1104271" cy="1969816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</dgm:t>
    </dgm:pt>
    <dgm:pt modelId="{2D6F1C9B-6B49-46DD-9F18-6C9CBDB114D8}" type="parTrans" cxnId="{E8B0B203-D742-4748-8C10-7E99ABB1B666}">
      <dgm:prSet/>
      <dgm:spPr/>
      <dgm:t>
        <a:bodyPr/>
        <a:lstStyle/>
        <a:p>
          <a:endParaRPr lang="en-US"/>
        </a:p>
      </dgm:t>
    </dgm:pt>
    <dgm:pt modelId="{96F7D680-5C0E-451A-B7BD-4330ADA5DA1B}" type="sibTrans" cxnId="{E8B0B203-D742-4748-8C10-7E99ABB1B666}">
      <dgm:prSet/>
      <dgm:spPr/>
      <dgm:t>
        <a:bodyPr/>
        <a:lstStyle/>
        <a:p>
          <a:endParaRPr lang="en-US"/>
        </a:p>
      </dgm:t>
    </dgm:pt>
    <dgm:pt modelId="{0C677A56-162B-47B8-B7EB-EE7A4DCECC01}">
      <dgm:prSet phldrT="[Text]" custT="1"/>
      <dgm:spPr>
        <a:xfrm>
          <a:off x="1654630" y="1591316"/>
          <a:ext cx="1104271" cy="1969816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n-US" sz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Core Group</a:t>
          </a:r>
        </a:p>
      </dgm:t>
    </dgm:pt>
    <dgm:pt modelId="{BBBDB397-24E0-431A-B52D-39255BDFC387}" type="parTrans" cxnId="{DED7D8FC-1FF6-440B-8A14-28309EC5F1AC}">
      <dgm:prSet/>
      <dgm:spPr/>
      <dgm:t>
        <a:bodyPr/>
        <a:lstStyle/>
        <a:p>
          <a:endParaRPr lang="en-US"/>
        </a:p>
      </dgm:t>
    </dgm:pt>
    <dgm:pt modelId="{F5D19AD5-737D-4D4E-8161-9C14BABFC57A}" type="sibTrans" cxnId="{DED7D8FC-1FF6-440B-8A14-28309EC5F1AC}">
      <dgm:prSet/>
      <dgm:spPr/>
      <dgm:t>
        <a:bodyPr/>
        <a:lstStyle/>
        <a:p>
          <a:endParaRPr lang="en-US"/>
        </a:p>
      </dgm:t>
    </dgm:pt>
    <dgm:pt modelId="{93403A98-B307-4389-8F30-237072422B97}">
      <dgm:prSet phldrT="[Text]" custT="1"/>
      <dgm:spPr>
        <a:xfrm>
          <a:off x="1654630" y="1591316"/>
          <a:ext cx="1104271" cy="1969816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endParaRPr lang="en-US" sz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79522B0-33E0-41BC-AB43-207ECA554741}" type="parTrans" cxnId="{CC07EE22-F2E5-4FC3-8822-1AD900AAF4BA}">
      <dgm:prSet/>
      <dgm:spPr/>
      <dgm:t>
        <a:bodyPr/>
        <a:lstStyle/>
        <a:p>
          <a:endParaRPr lang="en-US"/>
        </a:p>
      </dgm:t>
    </dgm:pt>
    <dgm:pt modelId="{DA1267EE-2255-41CE-83F0-DF936695EAB6}" type="sibTrans" cxnId="{CC07EE22-F2E5-4FC3-8822-1AD900AAF4BA}">
      <dgm:prSet/>
      <dgm:spPr/>
      <dgm:t>
        <a:bodyPr/>
        <a:lstStyle/>
        <a:p>
          <a:endParaRPr lang="en-US"/>
        </a:p>
      </dgm:t>
    </dgm:pt>
    <dgm:pt modelId="{6B48FEFE-DD60-4F41-9A3B-1A7BD5C73AF5}" type="pres">
      <dgm:prSet presAssocID="{128A4F09-4CBF-444C-86D4-11610EBB41E0}" presName="rootnode" presStyleCnt="0">
        <dgm:presLayoutVars>
          <dgm:chMax/>
          <dgm:chPref/>
          <dgm:dir/>
          <dgm:animLvl val="lvl"/>
        </dgm:presLayoutVars>
      </dgm:prSet>
      <dgm:spPr/>
    </dgm:pt>
    <dgm:pt modelId="{E0EA4E1B-670F-4B6A-9AE8-4E80CBE0A634}" type="pres">
      <dgm:prSet presAssocID="{050F0EC6-A727-40EE-903A-4BCDC90942BE}" presName="composite" presStyleCnt="0"/>
      <dgm:spPr/>
    </dgm:pt>
    <dgm:pt modelId="{C0ECBEC0-12F5-45B4-B28E-C0F131065140}" type="pres">
      <dgm:prSet presAssocID="{050F0EC6-A727-40EE-903A-4BCDC90942BE}" presName="bentUpArrow1" presStyleLbl="alignImgPlace1" presStyleIdx="0" presStyleCnt="3" custScaleX="105084" custScaleY="185313" custLinFactX="77848" custLinFactNeighborX="100000" custLinFactNeighborY="58251"/>
      <dgm:spPr>
        <a:xfrm rot="5400000">
          <a:off x="1601509" y="1694470"/>
          <a:ext cx="1630947" cy="1052907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FFA3B6B-27D2-46A8-9C84-F1283B74C0FD}" type="pres">
      <dgm:prSet presAssocID="{050F0EC6-A727-40EE-903A-4BCDC90942BE}" presName="ParentText" presStyleLbl="node1" presStyleIdx="0" presStyleCnt="4" custScaleY="126402" custLinFactNeighborX="2796" custLinFactNeighborY="16141">
        <dgm:presLayoutVars>
          <dgm:chMax val="1"/>
          <dgm:chPref val="1"/>
          <dgm:bulletEnabled val="1"/>
        </dgm:presLayoutVars>
      </dgm:prSet>
      <dgm:spPr/>
    </dgm:pt>
    <dgm:pt modelId="{917F5FEC-B863-4627-A4A9-6C51C06EAFF4}" type="pres">
      <dgm:prSet presAssocID="{050F0EC6-A727-40EE-903A-4BCDC90942BE}" presName="ChildText" presStyleLbl="revTx" presStyleIdx="0" presStyleCnt="3" custScaleX="140768" custScaleY="94322" custLinFactX="-7920" custLinFactY="150686" custLinFactNeighborX="-100000" custLinFactNeighborY="20000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142AD9EB-D5E2-4E3B-AB3F-6090809C1315}" type="pres">
      <dgm:prSet presAssocID="{7DDEC13F-81FA-4C9E-A7F9-96820CC83EFB}" presName="sibTrans" presStyleCnt="0"/>
      <dgm:spPr/>
    </dgm:pt>
    <dgm:pt modelId="{BF7C0F99-F1C2-40F2-9CD8-9CE29FE44971}" type="pres">
      <dgm:prSet presAssocID="{DF0CB72C-A0FD-4760-B477-E345A04278C9}" presName="composite" presStyleCnt="0"/>
      <dgm:spPr/>
    </dgm:pt>
    <dgm:pt modelId="{637AEDE8-9B98-455E-92AD-56EAF02A6057}" type="pres">
      <dgm:prSet presAssocID="{DF0CB72C-A0FD-4760-B477-E345A04278C9}" presName="bentUpArrow1" presStyleLbl="alignImgPlace1" presStyleIdx="1" presStyleCnt="3" custAng="10800000" custFlipVert="0" custScaleX="35600" custScaleY="30736" custLinFactY="54878" custLinFactNeighborX="10254" custLinFactNeighborY="100000"/>
      <dgm:spPr>
        <a:xfrm rot="16200000">
          <a:off x="1976216" y="4463302"/>
          <a:ext cx="270508" cy="356700"/>
        </a:xfrm>
        <a:prstGeom prst="callout3">
          <a:avLst/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7B570D75-7AEA-4751-ADFA-345AA1ACC003}" type="pres">
      <dgm:prSet presAssocID="{DF0CB72C-A0FD-4760-B477-E345A04278C9}" presName="ParentText" presStyleLbl="node1" presStyleIdx="1" presStyleCnt="4" custScaleX="107664" custScaleY="170328" custLinFactX="53699" custLinFactY="-35989" custLinFactNeighborX="100000" custLinFactNeighborY="-100000">
        <dgm:presLayoutVars>
          <dgm:chMax val="1"/>
          <dgm:chPref val="1"/>
          <dgm:bulletEnabled val="1"/>
        </dgm:presLayoutVars>
      </dgm:prSet>
      <dgm:spPr/>
    </dgm:pt>
    <dgm:pt modelId="{CA1BC090-9443-469C-B7AB-520BD0ED5735}" type="pres">
      <dgm:prSet presAssocID="{DF0CB72C-A0FD-4760-B477-E345A04278C9}" presName="ChildText" presStyleLbl="revTx" presStyleIdx="1" presStyleCnt="3" custScaleX="166529" custScaleY="63397" custLinFactNeighborX="24845" custLinFactNeighborY="-36038">
        <dgm:presLayoutVars>
          <dgm:chMax val="0"/>
          <dgm:chPref val="0"/>
          <dgm:bulletEnabled val="1"/>
        </dgm:presLayoutVars>
      </dgm:prSet>
      <dgm:spPr/>
    </dgm:pt>
    <dgm:pt modelId="{960B8A26-DFAA-40E5-9F27-993B069E4F09}" type="pres">
      <dgm:prSet presAssocID="{916A56DB-F3C0-4956-8AAF-3BFC671D8A23}" presName="sibTrans" presStyleCnt="0"/>
      <dgm:spPr/>
    </dgm:pt>
    <dgm:pt modelId="{39DD9757-BC62-4298-B6FC-AB5115428E8B}" type="pres">
      <dgm:prSet presAssocID="{831DEFBA-3B78-43AE-A6AE-722F79B67935}" presName="composite" presStyleCnt="0"/>
      <dgm:spPr/>
    </dgm:pt>
    <dgm:pt modelId="{08AC7C8C-2D0D-472C-B797-24411A5A1E77}" type="pres">
      <dgm:prSet presAssocID="{831DEFBA-3B78-43AE-A6AE-722F79B67935}" presName="bentUpArrow1" presStyleLbl="alignImgPlace1" presStyleIdx="2" presStyleCnt="3" custScaleX="115084" custScaleY="197411" custLinFactNeighborX="-77592" custLinFactNeighborY="-7406"/>
      <dgm:spPr>
        <a:xfrm rot="5400000">
          <a:off x="1660381" y="3678386"/>
          <a:ext cx="1509467" cy="1023029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</dgm:pt>
    <dgm:pt modelId="{2B6E7683-E3D7-4144-AC11-C3D67D6F02B2}" type="pres">
      <dgm:prSet presAssocID="{831DEFBA-3B78-43AE-A6AE-722F79B67935}" presName="ParentText" presStyleLbl="node1" presStyleIdx="2" presStyleCnt="4" custAng="0" custScaleY="128748" custLinFactNeighborX="38665" custLinFactNeighborY="-62301">
        <dgm:presLayoutVars>
          <dgm:chMax val="1"/>
          <dgm:chPref val="1"/>
          <dgm:bulletEnabled val="1"/>
        </dgm:presLayoutVars>
      </dgm:prSet>
      <dgm:spPr/>
    </dgm:pt>
    <dgm:pt modelId="{5B55AF85-F31B-4053-85D1-17B5CB939B31}" type="pres">
      <dgm:prSet presAssocID="{831DEFBA-3B78-43AE-A6AE-722F79B67935}" presName="ChildText" presStyleLbl="revTx" presStyleIdx="2" presStyleCnt="3" custScaleX="102479" custScaleY="193101" custLinFactX="-100000" custLinFactY="-27752" custLinFactNeighborX="-130420" custLinFactNeighborY="-100000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CEE03F92-E58E-48AF-A4D5-307F7A8CD4FE}" type="pres">
      <dgm:prSet presAssocID="{2A622C96-43A9-47F6-999C-2CD9038873FF}" presName="sibTrans" presStyleCnt="0"/>
      <dgm:spPr/>
    </dgm:pt>
    <dgm:pt modelId="{F7B9E9F8-7168-43BA-84D9-F6ADA2985823}" type="pres">
      <dgm:prSet presAssocID="{4A526A3C-F389-49EF-B49C-A873CBB718F1}" presName="composite" presStyleCnt="0"/>
      <dgm:spPr/>
    </dgm:pt>
    <dgm:pt modelId="{3DD89A60-A62D-4BFC-A84C-380909BA8308}" type="pres">
      <dgm:prSet presAssocID="{4A526A3C-F389-49EF-B49C-A873CBB718F1}" presName="ParentText" presStyleLbl="node1" presStyleIdx="3" presStyleCnt="4" custLinFactNeighborX="-50136" custLinFactNeighborY="-29633">
        <dgm:presLayoutVars>
          <dgm:chMax val="1"/>
          <dgm:chPref val="1"/>
          <dgm:bulletEnabled val="1"/>
        </dgm:presLayoutVars>
      </dgm:prSet>
      <dgm:spPr/>
    </dgm:pt>
  </dgm:ptLst>
  <dgm:cxnLst>
    <dgm:cxn modelId="{56E91E03-CF91-4165-A354-CEE42A364D90}" type="presOf" srcId="{71AF7C3A-F20F-49EB-86E2-445F266CF069}" destId="{5B55AF85-F31B-4053-85D1-17B5CB939B31}" srcOrd="0" destOrd="1" presId="urn:microsoft.com/office/officeart/2005/8/layout/StepDownProcess"/>
    <dgm:cxn modelId="{E8B0B203-D742-4748-8C10-7E99ABB1B666}" srcId="{831DEFBA-3B78-43AE-A6AE-722F79B67935}" destId="{8B60E74B-7705-440B-B3DB-3A1D4C64FB31}" srcOrd="2" destOrd="0" parTransId="{2D6F1C9B-6B49-46DD-9F18-6C9CBDB114D8}" sibTransId="{96F7D680-5C0E-451A-B7BD-4330ADA5DA1B}"/>
    <dgm:cxn modelId="{35888C05-95CD-4DC4-8879-D264CF7C0EEE}" srcId="{DF0CB72C-A0FD-4760-B477-E345A04278C9}" destId="{F6B41ECB-EB8E-44C9-B807-492932CE809B}" srcOrd="0" destOrd="0" parTransId="{D33D9796-8160-4147-BF59-5DC200A59443}" sibTransId="{3EA7B7FA-5594-4479-B230-6B06B5A0689F}"/>
    <dgm:cxn modelId="{88ECB60D-67B5-4D5F-8C3A-6E7E5356C205}" srcId="{831DEFBA-3B78-43AE-A6AE-722F79B67935}" destId="{BF554FC5-FF8F-417C-81F5-C33FD574783C}" srcOrd="0" destOrd="0" parTransId="{F07A5BD5-474D-4A97-BDE6-EE1F8A0A91E0}" sibTransId="{E8BE1FBE-1249-480F-8F64-21CC9E054793}"/>
    <dgm:cxn modelId="{598E811C-F177-4DEB-A262-D7FCE743EB51}" type="presOf" srcId="{F6B41ECB-EB8E-44C9-B807-492932CE809B}" destId="{CA1BC090-9443-469C-B7AB-520BD0ED5735}" srcOrd="0" destOrd="0" presId="urn:microsoft.com/office/officeart/2005/8/layout/StepDownProcess"/>
    <dgm:cxn modelId="{CC07EE22-F2E5-4FC3-8822-1AD900AAF4BA}" srcId="{8B60E74B-7705-440B-B3DB-3A1D4C64FB31}" destId="{93403A98-B307-4389-8F30-237072422B97}" srcOrd="0" destOrd="0" parTransId="{379522B0-33E0-41BC-AB43-207ECA554741}" sibTransId="{DA1267EE-2255-41CE-83F0-DF936695EAB6}"/>
    <dgm:cxn modelId="{52956A2F-3554-439C-A2CA-571F1E09996C}" type="presOf" srcId="{831DEFBA-3B78-43AE-A6AE-722F79B67935}" destId="{2B6E7683-E3D7-4144-AC11-C3D67D6F02B2}" srcOrd="0" destOrd="0" presId="urn:microsoft.com/office/officeart/2005/8/layout/StepDownProcess"/>
    <dgm:cxn modelId="{41906932-F782-44B0-8AFC-CDBF137A2F6F}" srcId="{050F0EC6-A727-40EE-903A-4BCDC90942BE}" destId="{5148E928-E340-4431-B232-9F441BAE752E}" srcOrd="1" destOrd="0" parTransId="{9CFEBE84-5011-47DB-9529-486EFD4561A6}" sibTransId="{EB02EE5D-04D8-4881-8390-B12D17285AB5}"/>
    <dgm:cxn modelId="{C9FFC83D-B6A3-4EC3-984F-0A7B8EF9A371}" srcId="{128A4F09-4CBF-444C-86D4-11610EBB41E0}" destId="{050F0EC6-A727-40EE-903A-4BCDC90942BE}" srcOrd="0" destOrd="0" parTransId="{0CE055D4-78D0-4F88-9DB2-97A9BF8CF849}" sibTransId="{7DDEC13F-81FA-4C9E-A7F9-96820CC83EFB}"/>
    <dgm:cxn modelId="{4B698661-0ACC-4D7E-A150-93C5160E3796}" type="presOf" srcId="{4A526A3C-F389-49EF-B49C-A873CBB718F1}" destId="{3DD89A60-A62D-4BFC-A84C-380909BA8308}" srcOrd="0" destOrd="0" presId="urn:microsoft.com/office/officeart/2005/8/layout/StepDownProcess"/>
    <dgm:cxn modelId="{D88D2F43-4053-465D-B0B9-C60B564E92B7}" type="presOf" srcId="{DF0CB72C-A0FD-4760-B477-E345A04278C9}" destId="{7B570D75-7AEA-4751-ADFA-345AA1ACC003}" srcOrd="0" destOrd="0" presId="urn:microsoft.com/office/officeart/2005/8/layout/StepDownProcess"/>
    <dgm:cxn modelId="{D72DDB58-9E56-4712-9252-0EDDEC361AAF}" type="presOf" srcId="{050F0EC6-A727-40EE-903A-4BCDC90942BE}" destId="{2FFA3B6B-27D2-46A8-9C84-F1283B74C0FD}" srcOrd="0" destOrd="0" presId="urn:microsoft.com/office/officeart/2005/8/layout/StepDownProcess"/>
    <dgm:cxn modelId="{39B8FC83-5990-48EA-84CC-DEC30DA94C24}" type="presOf" srcId="{93403A98-B307-4389-8F30-237072422B97}" destId="{5B55AF85-F31B-4053-85D1-17B5CB939B31}" srcOrd="0" destOrd="3" presId="urn:microsoft.com/office/officeart/2005/8/layout/StepDownProcess"/>
    <dgm:cxn modelId="{BFF2398E-F94B-4156-B72D-9E919BFB0E01}" type="presOf" srcId="{0C677A56-162B-47B8-B7EB-EE7A4DCECC01}" destId="{5B55AF85-F31B-4053-85D1-17B5CB939B31}" srcOrd="0" destOrd="4" presId="urn:microsoft.com/office/officeart/2005/8/layout/StepDownProcess"/>
    <dgm:cxn modelId="{6CE8FAAC-3D8E-4632-A6BE-ED7B4AB60B3C}" type="presOf" srcId="{BF554FC5-FF8F-417C-81F5-C33FD574783C}" destId="{5B55AF85-F31B-4053-85D1-17B5CB939B31}" srcOrd="0" destOrd="0" presId="urn:microsoft.com/office/officeart/2005/8/layout/StepDownProcess"/>
    <dgm:cxn modelId="{4B21DEB2-4E3A-49FB-AC5E-92D876554BCD}" type="presOf" srcId="{8B60E74B-7705-440B-B3DB-3A1D4C64FB31}" destId="{5B55AF85-F31B-4053-85D1-17B5CB939B31}" srcOrd="0" destOrd="2" presId="urn:microsoft.com/office/officeart/2005/8/layout/StepDownProcess"/>
    <dgm:cxn modelId="{44D23FB5-D961-4D7C-9FC4-1E27BA2459BC}" type="presOf" srcId="{5148E928-E340-4431-B232-9F441BAE752E}" destId="{917F5FEC-B863-4627-A4A9-6C51C06EAFF4}" srcOrd="0" destOrd="1" presId="urn:microsoft.com/office/officeart/2005/8/layout/StepDownProcess"/>
    <dgm:cxn modelId="{BD4A09B8-65E4-43E2-96DA-CA42A9D6E033}" type="presOf" srcId="{128A4F09-4CBF-444C-86D4-11610EBB41E0}" destId="{6B48FEFE-DD60-4F41-9A3B-1A7BD5C73AF5}" srcOrd="0" destOrd="0" presId="urn:microsoft.com/office/officeart/2005/8/layout/StepDownProcess"/>
    <dgm:cxn modelId="{D8702CB9-4321-4A0C-A8EA-39D6F8C8D10A}" srcId="{831DEFBA-3B78-43AE-A6AE-722F79B67935}" destId="{71AF7C3A-F20F-49EB-86E2-445F266CF069}" srcOrd="1" destOrd="0" parTransId="{4E1F9113-4CAA-4F67-8F81-FD5261B85E2D}" sibTransId="{256E1A58-BD33-4417-8234-EC7D86562B5A}"/>
    <dgm:cxn modelId="{B02068B9-37CC-46F0-AC2A-2017066291CD}" type="presOf" srcId="{C75D4A09-AD64-499C-94FB-E4D9CE92E7A0}" destId="{917F5FEC-B863-4627-A4A9-6C51C06EAFF4}" srcOrd="0" destOrd="0" presId="urn:microsoft.com/office/officeart/2005/8/layout/StepDownProcess"/>
    <dgm:cxn modelId="{D5D9E0D9-C777-4FFE-B4E7-425620523812}" srcId="{128A4F09-4CBF-444C-86D4-11610EBB41E0}" destId="{DF0CB72C-A0FD-4760-B477-E345A04278C9}" srcOrd="1" destOrd="0" parTransId="{0504B877-FE93-427A-84DE-F0DF413A35D6}" sibTransId="{916A56DB-F3C0-4956-8AAF-3BFC671D8A23}"/>
    <dgm:cxn modelId="{42FEF6DC-AC94-42FE-B05A-AF671F3E6C70}" srcId="{050F0EC6-A727-40EE-903A-4BCDC90942BE}" destId="{C75D4A09-AD64-499C-94FB-E4D9CE92E7A0}" srcOrd="0" destOrd="0" parTransId="{420964EA-D6C2-4700-BEB8-919762D95986}" sibTransId="{1B37E4D8-1493-41B5-B079-0C5C32CA6E7A}"/>
    <dgm:cxn modelId="{36F6FAF4-F9AF-490B-96D0-7153A08D1ACF}" srcId="{128A4F09-4CBF-444C-86D4-11610EBB41E0}" destId="{4A526A3C-F389-49EF-B49C-A873CBB718F1}" srcOrd="3" destOrd="0" parTransId="{FA2313F6-4F28-4CC8-B0AE-8AC2C5D7ACA5}" sibTransId="{C850015D-207C-4C0B-ACC9-17B914F339FB}"/>
    <dgm:cxn modelId="{68EB17FB-C120-4B5A-A1E4-5E61A5DE9C27}" srcId="{128A4F09-4CBF-444C-86D4-11610EBB41E0}" destId="{831DEFBA-3B78-43AE-A6AE-722F79B67935}" srcOrd="2" destOrd="0" parTransId="{D9D8E1D8-5A8B-4802-B9F4-5E15D67E42F9}" sibTransId="{2A622C96-43A9-47F6-999C-2CD9038873FF}"/>
    <dgm:cxn modelId="{DED7D8FC-1FF6-440B-8A14-28309EC5F1AC}" srcId="{8B60E74B-7705-440B-B3DB-3A1D4C64FB31}" destId="{0C677A56-162B-47B8-B7EB-EE7A4DCECC01}" srcOrd="1" destOrd="0" parTransId="{BBBDB397-24E0-431A-B52D-39255BDFC387}" sibTransId="{F5D19AD5-737D-4D4E-8161-9C14BABFC57A}"/>
    <dgm:cxn modelId="{59172004-F480-4813-A23A-7F2BF4CA48BE}" type="presParOf" srcId="{6B48FEFE-DD60-4F41-9A3B-1A7BD5C73AF5}" destId="{E0EA4E1B-670F-4B6A-9AE8-4E80CBE0A634}" srcOrd="0" destOrd="0" presId="urn:microsoft.com/office/officeart/2005/8/layout/StepDownProcess"/>
    <dgm:cxn modelId="{CC88586D-674D-4C63-A6C3-2D9E982C5648}" type="presParOf" srcId="{E0EA4E1B-670F-4B6A-9AE8-4E80CBE0A634}" destId="{C0ECBEC0-12F5-45B4-B28E-C0F131065140}" srcOrd="0" destOrd="0" presId="urn:microsoft.com/office/officeart/2005/8/layout/StepDownProcess"/>
    <dgm:cxn modelId="{EFE20C3F-95A4-4F8F-B7C8-D3768DB1A5CE}" type="presParOf" srcId="{E0EA4E1B-670F-4B6A-9AE8-4E80CBE0A634}" destId="{2FFA3B6B-27D2-46A8-9C84-F1283B74C0FD}" srcOrd="1" destOrd="0" presId="urn:microsoft.com/office/officeart/2005/8/layout/StepDownProcess"/>
    <dgm:cxn modelId="{52CF4F35-1366-4C7E-AA28-2F4AFE5EF466}" type="presParOf" srcId="{E0EA4E1B-670F-4B6A-9AE8-4E80CBE0A634}" destId="{917F5FEC-B863-4627-A4A9-6C51C06EAFF4}" srcOrd="2" destOrd="0" presId="urn:microsoft.com/office/officeart/2005/8/layout/StepDownProcess"/>
    <dgm:cxn modelId="{27977476-C7EF-4D45-95CA-146FCDFE24F0}" type="presParOf" srcId="{6B48FEFE-DD60-4F41-9A3B-1A7BD5C73AF5}" destId="{142AD9EB-D5E2-4E3B-AB3F-6090809C1315}" srcOrd="1" destOrd="0" presId="urn:microsoft.com/office/officeart/2005/8/layout/StepDownProcess"/>
    <dgm:cxn modelId="{683BE5AB-0EFE-4344-B39E-E75F5722788D}" type="presParOf" srcId="{6B48FEFE-DD60-4F41-9A3B-1A7BD5C73AF5}" destId="{BF7C0F99-F1C2-40F2-9CD8-9CE29FE44971}" srcOrd="2" destOrd="0" presId="urn:microsoft.com/office/officeart/2005/8/layout/StepDownProcess"/>
    <dgm:cxn modelId="{2FA6406C-AB66-4072-9FC0-3881B079818D}" type="presParOf" srcId="{BF7C0F99-F1C2-40F2-9CD8-9CE29FE44971}" destId="{637AEDE8-9B98-455E-92AD-56EAF02A6057}" srcOrd="0" destOrd="0" presId="urn:microsoft.com/office/officeart/2005/8/layout/StepDownProcess"/>
    <dgm:cxn modelId="{19514779-F9AD-4A94-9CC5-09D02C13D621}" type="presParOf" srcId="{BF7C0F99-F1C2-40F2-9CD8-9CE29FE44971}" destId="{7B570D75-7AEA-4751-ADFA-345AA1ACC003}" srcOrd="1" destOrd="0" presId="urn:microsoft.com/office/officeart/2005/8/layout/StepDownProcess"/>
    <dgm:cxn modelId="{EA1120CA-75E5-46BA-87CA-28622891611D}" type="presParOf" srcId="{BF7C0F99-F1C2-40F2-9CD8-9CE29FE44971}" destId="{CA1BC090-9443-469C-B7AB-520BD0ED5735}" srcOrd="2" destOrd="0" presId="urn:microsoft.com/office/officeart/2005/8/layout/StepDownProcess"/>
    <dgm:cxn modelId="{3573278A-EAE1-4B3E-8B95-342D2D134503}" type="presParOf" srcId="{6B48FEFE-DD60-4F41-9A3B-1A7BD5C73AF5}" destId="{960B8A26-DFAA-40E5-9F27-993B069E4F09}" srcOrd="3" destOrd="0" presId="urn:microsoft.com/office/officeart/2005/8/layout/StepDownProcess"/>
    <dgm:cxn modelId="{D05CB24B-7FD5-4BF5-B05B-A336EB3A1F9F}" type="presParOf" srcId="{6B48FEFE-DD60-4F41-9A3B-1A7BD5C73AF5}" destId="{39DD9757-BC62-4298-B6FC-AB5115428E8B}" srcOrd="4" destOrd="0" presId="urn:microsoft.com/office/officeart/2005/8/layout/StepDownProcess"/>
    <dgm:cxn modelId="{0FF0395C-B582-4E5C-ADEA-40265D726397}" type="presParOf" srcId="{39DD9757-BC62-4298-B6FC-AB5115428E8B}" destId="{08AC7C8C-2D0D-472C-B797-24411A5A1E77}" srcOrd="0" destOrd="0" presId="urn:microsoft.com/office/officeart/2005/8/layout/StepDownProcess"/>
    <dgm:cxn modelId="{CCDC5BE4-3023-45F3-B513-5AE986897688}" type="presParOf" srcId="{39DD9757-BC62-4298-B6FC-AB5115428E8B}" destId="{2B6E7683-E3D7-4144-AC11-C3D67D6F02B2}" srcOrd="1" destOrd="0" presId="urn:microsoft.com/office/officeart/2005/8/layout/StepDownProcess"/>
    <dgm:cxn modelId="{3B4FF4E0-371A-427C-962D-4D08811EB7E7}" type="presParOf" srcId="{39DD9757-BC62-4298-B6FC-AB5115428E8B}" destId="{5B55AF85-F31B-4053-85D1-17B5CB939B31}" srcOrd="2" destOrd="0" presId="urn:microsoft.com/office/officeart/2005/8/layout/StepDownProcess"/>
    <dgm:cxn modelId="{65DFD961-3930-420A-AE46-02AF9577A650}" type="presParOf" srcId="{6B48FEFE-DD60-4F41-9A3B-1A7BD5C73AF5}" destId="{CEE03F92-E58E-48AF-A4D5-307F7A8CD4FE}" srcOrd="5" destOrd="0" presId="urn:microsoft.com/office/officeart/2005/8/layout/StepDownProcess"/>
    <dgm:cxn modelId="{F17C9C09-7511-4E6A-A39B-F8585CC4ECDD}" type="presParOf" srcId="{6B48FEFE-DD60-4F41-9A3B-1A7BD5C73AF5}" destId="{F7B9E9F8-7168-43BA-84D9-F6ADA2985823}" srcOrd="6" destOrd="0" presId="urn:microsoft.com/office/officeart/2005/8/layout/StepDownProcess"/>
    <dgm:cxn modelId="{72CA3130-3B6F-4E35-A07A-9C6C0C2328FE}" type="presParOf" srcId="{F7B9E9F8-7168-43BA-84D9-F6ADA2985823}" destId="{3DD89A60-A62D-4BFC-A84C-380909BA8308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ECBEC0-12F5-45B4-B28E-C0F131065140}">
      <dsp:nvSpPr>
        <dsp:cNvPr id="0" name=""/>
        <dsp:cNvSpPr/>
      </dsp:nvSpPr>
      <dsp:spPr>
        <a:xfrm rot="5400000">
          <a:off x="2065044" y="1111275"/>
          <a:ext cx="1116657" cy="720892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FA3B6B-27D2-46A8-9C84-F1283B74C0FD}">
      <dsp:nvSpPr>
        <dsp:cNvPr id="0" name=""/>
        <dsp:cNvSpPr/>
      </dsp:nvSpPr>
      <dsp:spPr>
        <a:xfrm>
          <a:off x="970735" y="130609"/>
          <a:ext cx="1014388" cy="897503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Steering Committee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(every 2 months)</a:t>
          </a:r>
        </a:p>
      </dsp:txBody>
      <dsp:txXfrm>
        <a:off x="1014555" y="174429"/>
        <a:ext cx="926748" cy="809863"/>
      </dsp:txXfrm>
    </dsp:sp>
    <dsp:sp modelId="{917F5FEC-B863-4627-A4A9-6C51C06EAFF4}">
      <dsp:nvSpPr>
        <dsp:cNvPr id="0" name=""/>
        <dsp:cNvSpPr/>
      </dsp:nvSpPr>
      <dsp:spPr>
        <a:xfrm>
          <a:off x="1010173" y="2206279"/>
          <a:ext cx="1038543" cy="54129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1010173" y="2206279"/>
        <a:ext cx="1038543" cy="541299"/>
      </dsp:txXfrm>
    </dsp:sp>
    <dsp:sp modelId="{637AEDE8-9B98-455E-92AD-56EAF02A6057}">
      <dsp:nvSpPr>
        <dsp:cNvPr id="0" name=""/>
        <dsp:cNvSpPr/>
      </dsp:nvSpPr>
      <dsp:spPr>
        <a:xfrm rot="16200000">
          <a:off x="2333142" y="3236190"/>
          <a:ext cx="185208" cy="244221"/>
        </a:xfrm>
        <a:prstGeom prst="callout3">
          <a:avLst/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B570D75-7AEA-4751-ADFA-345AA1ACC003}">
      <dsp:nvSpPr>
        <dsp:cNvPr id="0" name=""/>
        <dsp:cNvSpPr/>
      </dsp:nvSpPr>
      <dsp:spPr>
        <a:xfrm>
          <a:off x="3414700" y="198806"/>
          <a:ext cx="1092131" cy="1209395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Deep Dive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Functional Unit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(every 6 weeks)</a:t>
          </a:r>
        </a:p>
      </dsp:txBody>
      <dsp:txXfrm>
        <a:off x="3468023" y="252129"/>
        <a:ext cx="985485" cy="1102749"/>
      </dsp:txXfrm>
    </dsp:sp>
    <dsp:sp modelId="{CA1BC090-9443-469C-B7AB-520BD0ED5735}">
      <dsp:nvSpPr>
        <dsp:cNvPr id="0" name=""/>
        <dsp:cNvSpPr/>
      </dsp:nvSpPr>
      <dsp:spPr>
        <a:xfrm>
          <a:off x="2846738" y="1379991"/>
          <a:ext cx="1228600" cy="36382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en-US" sz="12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46738" y="1379991"/>
        <a:ext cx="1228600" cy="363825"/>
      </dsp:txXfrm>
    </dsp:sp>
    <dsp:sp modelId="{08AC7C8C-2D0D-472C-B797-24411A5A1E77}">
      <dsp:nvSpPr>
        <dsp:cNvPr id="0" name=""/>
        <dsp:cNvSpPr/>
      </dsp:nvSpPr>
      <dsp:spPr>
        <a:xfrm rot="5400000">
          <a:off x="2102681" y="2774015"/>
          <a:ext cx="1189557" cy="78949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rgbClr val="4F81BD">
            <a:tint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6E7683-E3D7-4144-AC11-C3D67D6F02B2}">
      <dsp:nvSpPr>
        <dsp:cNvPr id="0" name=""/>
        <dsp:cNvSpPr/>
      </dsp:nvSpPr>
      <dsp:spPr>
        <a:xfrm>
          <a:off x="3161029" y="1657988"/>
          <a:ext cx="1014388" cy="914161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Senior Leadership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 baseline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205663" y="1702622"/>
        <a:ext cx="925120" cy="824893"/>
      </dsp:txXfrm>
    </dsp:sp>
    <dsp:sp modelId="{5B55AF85-F31B-4053-85D1-17B5CB939B31}">
      <dsp:nvSpPr>
        <dsp:cNvPr id="0" name=""/>
        <dsp:cNvSpPr/>
      </dsp:nvSpPr>
      <dsp:spPr>
        <a:xfrm>
          <a:off x="2074091" y="1269833"/>
          <a:ext cx="756058" cy="1108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2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2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en-US" sz="1200" kern="1200" baseline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228600" lvl="2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200" kern="1200" baseline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Core Group</a:t>
          </a:r>
        </a:p>
      </dsp:txBody>
      <dsp:txXfrm>
        <a:off x="2074091" y="1269833"/>
        <a:ext cx="756058" cy="1108177"/>
      </dsp:txXfrm>
    </dsp:sp>
    <dsp:sp modelId="{3DD89A60-A62D-4BFC-A84C-380909BA8308}">
      <dsp:nvSpPr>
        <dsp:cNvPr id="0" name=""/>
        <dsp:cNvSpPr/>
      </dsp:nvSpPr>
      <dsp:spPr>
        <a:xfrm>
          <a:off x="3173464" y="3083102"/>
          <a:ext cx="1014388" cy="710039"/>
        </a:xfrm>
        <a:prstGeom prst="roundRect">
          <a:avLst>
            <a:gd name="adj" fmla="val 1667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 BOT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(March)</a:t>
          </a:r>
        </a:p>
      </dsp:txBody>
      <dsp:txXfrm>
        <a:off x="3208131" y="3117769"/>
        <a:ext cx="945054" cy="640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265B-E872-4EA0-B9B2-CFA13962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Silver</dc:creator>
  <cp:keywords/>
  <dc:description/>
  <cp:lastModifiedBy>Edward Silver</cp:lastModifiedBy>
  <cp:revision>10</cp:revision>
  <cp:lastPrinted>2020-05-07T11:12:00Z</cp:lastPrinted>
  <dcterms:created xsi:type="dcterms:W3CDTF">2021-01-20T20:23:00Z</dcterms:created>
  <dcterms:modified xsi:type="dcterms:W3CDTF">2021-01-20T20:30:00Z</dcterms:modified>
</cp:coreProperties>
</file>