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7B" w:rsidRPr="00735A8F" w:rsidRDefault="00B3037B" w:rsidP="00B3037B">
      <w:pPr>
        <w:rPr>
          <w:rFonts w:ascii="Palatino Linotype" w:hAnsi="Palatino Linotype" w:cs="Times New Roman"/>
          <w:b/>
          <w:color w:val="000000"/>
          <w:sz w:val="23"/>
          <w:szCs w:val="23"/>
        </w:rPr>
      </w:pPr>
      <w:bookmarkStart w:id="0" w:name="_GoBack"/>
      <w:bookmarkEnd w:id="0"/>
      <w:r w:rsidRPr="00735A8F">
        <w:rPr>
          <w:rFonts w:ascii="Palatino Linotype" w:hAnsi="Palatino Linotype" w:cs="Times New Roman"/>
          <w:b/>
          <w:color w:val="000000"/>
          <w:sz w:val="23"/>
          <w:szCs w:val="23"/>
        </w:rPr>
        <w:t>Worksheet 3: Aligning Program Outcomes to University Outcomes</w:t>
      </w:r>
    </w:p>
    <w:p w:rsidR="00B3037B" w:rsidRPr="00735A8F" w:rsidRDefault="00B3037B" w:rsidP="00B3037B">
      <w:pPr>
        <w:autoSpaceDE w:val="0"/>
        <w:autoSpaceDN w:val="0"/>
        <w:adjustRightInd w:val="0"/>
        <w:spacing w:after="0" w:line="240" w:lineRule="auto"/>
        <w:rPr>
          <w:rFonts w:ascii="Palatino Linotype" w:hAnsi="Palatino Linotype" w:cs="PalatinoLinotype-Roman"/>
          <w:sz w:val="23"/>
          <w:szCs w:val="23"/>
        </w:rPr>
      </w:pPr>
      <w:r w:rsidRPr="00735A8F">
        <w:rPr>
          <w:rFonts w:ascii="Palatino Linotype" w:hAnsi="Palatino Linotype" w:cs="PalatinoLinotype-Roman"/>
          <w:sz w:val="23"/>
          <w:szCs w:val="23"/>
        </w:rPr>
        <w:t>With Middle States expectations in mind, for each of the program outcomes developed in Section 1, please use the worksheet on the next page to indicate the extent to which each of the nine University Learning Outcomes is addressed. Indicate relevance of each University Outcome to each program outcome as follows:</w:t>
      </w:r>
    </w:p>
    <w:p w:rsidR="00B3037B" w:rsidRPr="00735A8F" w:rsidRDefault="00B3037B" w:rsidP="00B3037B">
      <w:pPr>
        <w:autoSpaceDE w:val="0"/>
        <w:autoSpaceDN w:val="0"/>
        <w:adjustRightInd w:val="0"/>
        <w:spacing w:after="0" w:line="240" w:lineRule="auto"/>
        <w:rPr>
          <w:rFonts w:ascii="Palatino Linotype" w:hAnsi="Palatino Linotype" w:cs="PalatinoLinotype-Roman"/>
          <w:sz w:val="23"/>
          <w:szCs w:val="23"/>
        </w:rPr>
      </w:pPr>
    </w:p>
    <w:p w:rsidR="00B3037B" w:rsidRPr="00735A8F" w:rsidRDefault="00B3037B" w:rsidP="00D62D6B">
      <w:pPr>
        <w:autoSpaceDE w:val="0"/>
        <w:autoSpaceDN w:val="0"/>
        <w:adjustRightInd w:val="0"/>
        <w:spacing w:after="0" w:line="240" w:lineRule="auto"/>
        <w:ind w:left="1440" w:hanging="360"/>
        <w:rPr>
          <w:rFonts w:ascii="Palatino Linotype" w:hAnsi="Palatino Linotype" w:cs="PalatinoLinotype-Roman"/>
          <w:sz w:val="23"/>
          <w:szCs w:val="23"/>
        </w:rPr>
      </w:pPr>
      <w:r w:rsidRPr="00735A8F">
        <w:rPr>
          <w:rFonts w:ascii="Palatino Linotype" w:hAnsi="Palatino Linotype" w:cs="PalatinoLinotype-Roman"/>
          <w:sz w:val="23"/>
          <w:szCs w:val="23"/>
        </w:rPr>
        <w:t>0</w:t>
      </w:r>
      <w:r w:rsidRPr="00735A8F">
        <w:rPr>
          <w:rFonts w:ascii="Palatino Linotype" w:hAnsi="Palatino Linotype" w:cs="PalatinoLinotype-Roman"/>
          <w:sz w:val="23"/>
          <w:szCs w:val="23"/>
        </w:rPr>
        <w:tab/>
        <w:t>This university learning outcome is not relevant to this program learning outcome.</w:t>
      </w:r>
    </w:p>
    <w:p w:rsidR="00B3037B" w:rsidRDefault="00B3037B" w:rsidP="00D62D6B">
      <w:pPr>
        <w:autoSpaceDE w:val="0"/>
        <w:autoSpaceDN w:val="0"/>
        <w:adjustRightInd w:val="0"/>
        <w:spacing w:after="0" w:line="240" w:lineRule="auto"/>
        <w:ind w:left="1440" w:hanging="360"/>
        <w:rPr>
          <w:rFonts w:ascii="Palatino Linotype" w:hAnsi="Palatino Linotype" w:cs="PalatinoLinotype-Roman"/>
          <w:sz w:val="23"/>
          <w:szCs w:val="23"/>
        </w:rPr>
      </w:pPr>
      <w:r w:rsidRPr="00735A8F">
        <w:rPr>
          <w:rFonts w:ascii="Palatino Linotype" w:hAnsi="Palatino Linotype" w:cs="PalatinoLinotype-Roman"/>
          <w:sz w:val="23"/>
          <w:szCs w:val="23"/>
        </w:rPr>
        <w:t>1</w:t>
      </w:r>
      <w:r w:rsidRPr="00735A8F">
        <w:rPr>
          <w:rFonts w:ascii="Palatino Linotype" w:hAnsi="Palatino Linotype" w:cs="PalatinoLinotype-Roman"/>
          <w:sz w:val="23"/>
          <w:szCs w:val="23"/>
        </w:rPr>
        <w:tab/>
        <w:t>Closely Linked – This university learning outcome is closely linked to this program learning outcome</w:t>
      </w:r>
    </w:p>
    <w:p w:rsidR="00735A8F" w:rsidRPr="00735A8F" w:rsidRDefault="00735A8F" w:rsidP="00D62D6B">
      <w:pPr>
        <w:autoSpaceDE w:val="0"/>
        <w:autoSpaceDN w:val="0"/>
        <w:adjustRightInd w:val="0"/>
        <w:spacing w:after="0" w:line="240" w:lineRule="auto"/>
        <w:ind w:left="1440" w:hanging="360"/>
        <w:rPr>
          <w:rFonts w:ascii="Palatino Linotype" w:hAnsi="Palatino Linotype" w:cs="Times New Roman"/>
          <w:sz w:val="23"/>
          <w:szCs w:val="23"/>
        </w:rPr>
      </w:pPr>
    </w:p>
    <w:tbl>
      <w:tblPr>
        <w:tblStyle w:val="TableGrid"/>
        <w:tblW w:w="9360" w:type="dxa"/>
        <w:tblLayout w:type="fixed"/>
        <w:tblLook w:val="04A0" w:firstRow="1" w:lastRow="0" w:firstColumn="1" w:lastColumn="0" w:noHBand="0" w:noVBand="1"/>
      </w:tblPr>
      <w:tblGrid>
        <w:gridCol w:w="3152"/>
        <w:gridCol w:w="689"/>
        <w:gridCol w:w="689"/>
        <w:gridCol w:w="690"/>
        <w:gridCol w:w="690"/>
        <w:gridCol w:w="690"/>
        <w:gridCol w:w="690"/>
        <w:gridCol w:w="690"/>
        <w:gridCol w:w="690"/>
        <w:gridCol w:w="690"/>
      </w:tblGrid>
      <w:tr w:rsidR="00AE4EEC" w:rsidRPr="00735A8F" w:rsidTr="00735A8F">
        <w:tc>
          <w:tcPr>
            <w:tcW w:w="3152" w:type="dxa"/>
            <w:tcBorders>
              <w:bottom w:val="single" w:sz="4" w:space="0" w:color="auto"/>
            </w:tcBorders>
            <w:shd w:val="clear" w:color="auto" w:fill="B8CCE4" w:themeFill="accent1" w:themeFillTint="66"/>
          </w:tcPr>
          <w:p w:rsidR="00AE4EEC" w:rsidRPr="00735A8F" w:rsidRDefault="00AE4EEC" w:rsidP="00993A5D">
            <w:pPr>
              <w:rPr>
                <w:rFonts w:ascii="Palatino Linotype" w:hAnsi="Palatino Linotype" w:cs="Times New Roman"/>
                <w:color w:val="000000"/>
                <w:sz w:val="23"/>
                <w:szCs w:val="23"/>
              </w:rPr>
            </w:pPr>
          </w:p>
        </w:tc>
        <w:tc>
          <w:tcPr>
            <w:tcW w:w="6208" w:type="dxa"/>
            <w:gridSpan w:val="9"/>
            <w:tcBorders>
              <w:bottom w:val="single" w:sz="4" w:space="0" w:color="auto"/>
            </w:tcBorders>
            <w:shd w:val="clear" w:color="auto" w:fill="B8CCE4" w:themeFill="accent1" w:themeFillTint="66"/>
          </w:tcPr>
          <w:p w:rsidR="00AE4EEC" w:rsidRPr="00735A8F" w:rsidRDefault="00AE4EEC" w:rsidP="00993A5D">
            <w:pPr>
              <w:jc w:val="center"/>
              <w:rPr>
                <w:rFonts w:ascii="Palatino Linotype" w:hAnsi="Palatino Linotype" w:cs="Times New Roman"/>
                <w:sz w:val="23"/>
                <w:szCs w:val="23"/>
              </w:rPr>
            </w:pPr>
          </w:p>
          <w:p w:rsidR="00AE4EEC" w:rsidRPr="00735A8F" w:rsidRDefault="00AE4EEC" w:rsidP="00993A5D">
            <w:pPr>
              <w:jc w:val="center"/>
              <w:rPr>
                <w:rFonts w:ascii="Palatino Linotype" w:hAnsi="Palatino Linotype" w:cs="Times New Roman"/>
                <w:b/>
                <w:sz w:val="23"/>
                <w:szCs w:val="23"/>
              </w:rPr>
            </w:pPr>
            <w:r w:rsidRPr="00735A8F">
              <w:rPr>
                <w:rFonts w:ascii="Palatino Linotype" w:hAnsi="Palatino Linotype" w:cs="Times New Roman"/>
                <w:b/>
                <w:sz w:val="23"/>
                <w:szCs w:val="23"/>
              </w:rPr>
              <w:t xml:space="preserve">Fairleigh Dickinson University </w:t>
            </w:r>
            <w:r w:rsidR="00735A8F">
              <w:rPr>
                <w:rFonts w:ascii="Palatino Linotype" w:hAnsi="Palatino Linotype" w:cs="Times New Roman"/>
                <w:b/>
                <w:sz w:val="23"/>
                <w:szCs w:val="23"/>
              </w:rPr>
              <w:br/>
            </w:r>
            <w:r w:rsidRPr="00735A8F">
              <w:rPr>
                <w:rFonts w:ascii="Palatino Linotype" w:hAnsi="Palatino Linotype" w:cs="Times New Roman"/>
                <w:b/>
                <w:sz w:val="23"/>
                <w:szCs w:val="23"/>
              </w:rPr>
              <w:t xml:space="preserve">General Education Outcomes </w:t>
            </w:r>
          </w:p>
          <w:p w:rsidR="00AE4EEC" w:rsidRPr="00735A8F" w:rsidRDefault="00AE4EEC" w:rsidP="00993A5D">
            <w:pPr>
              <w:jc w:val="center"/>
              <w:rPr>
                <w:rFonts w:ascii="Palatino Linotype" w:hAnsi="Palatino Linotype" w:cs="Times New Roman"/>
                <w:sz w:val="23"/>
                <w:szCs w:val="23"/>
              </w:rPr>
            </w:pPr>
          </w:p>
        </w:tc>
      </w:tr>
      <w:tr w:rsidR="00AE4EEC" w:rsidRPr="00735A8F" w:rsidTr="00735A8F">
        <w:trPr>
          <w:cantSplit/>
          <w:trHeight w:val="1800"/>
        </w:trPr>
        <w:tc>
          <w:tcPr>
            <w:tcW w:w="3152" w:type="dxa"/>
            <w:tcBorders>
              <w:bottom w:val="single" w:sz="4" w:space="0" w:color="auto"/>
            </w:tcBorders>
            <w:shd w:val="clear" w:color="auto" w:fill="B8CCE4" w:themeFill="accent1" w:themeFillTint="66"/>
            <w:vAlign w:val="bottom"/>
          </w:tcPr>
          <w:p w:rsidR="00AE4EEC" w:rsidRPr="00735A8F" w:rsidRDefault="00AE4EEC" w:rsidP="00993A5D">
            <w:pPr>
              <w:rPr>
                <w:rFonts w:ascii="Palatino Linotype" w:hAnsi="Palatino Linotype" w:cs="Times New Roman"/>
                <w:b/>
                <w:sz w:val="23"/>
                <w:szCs w:val="23"/>
              </w:rPr>
            </w:pPr>
            <w:r w:rsidRPr="00735A8F">
              <w:rPr>
                <w:rFonts w:ascii="Palatino Linotype" w:hAnsi="Palatino Linotype" w:cs="Times New Roman"/>
                <w:b/>
                <w:sz w:val="23"/>
                <w:szCs w:val="23"/>
              </w:rPr>
              <w:t>Program Outcomes for</w:t>
            </w:r>
          </w:p>
          <w:p w:rsidR="00AE4EEC" w:rsidRPr="00735A8F" w:rsidRDefault="00AE4EEC" w:rsidP="00993A5D">
            <w:pPr>
              <w:rPr>
                <w:rFonts w:ascii="Palatino Linotype" w:hAnsi="Palatino Linotype" w:cs="Times New Roman"/>
                <w:b/>
                <w:sz w:val="23"/>
                <w:szCs w:val="23"/>
              </w:rPr>
            </w:pPr>
          </w:p>
          <w:p w:rsidR="00AE4EEC" w:rsidRPr="00735A8F" w:rsidRDefault="00AE4EEC" w:rsidP="00993A5D">
            <w:pPr>
              <w:pBdr>
                <w:bottom w:val="single" w:sz="12" w:space="1" w:color="auto"/>
              </w:pBdr>
              <w:rPr>
                <w:rFonts w:ascii="Palatino Linotype" w:hAnsi="Palatino Linotype" w:cs="Times New Roman"/>
                <w:sz w:val="23"/>
                <w:szCs w:val="23"/>
              </w:rPr>
            </w:pPr>
          </w:p>
          <w:p w:rsidR="00AE4EEC" w:rsidRPr="00735A8F" w:rsidRDefault="00AE4EEC" w:rsidP="00993A5D">
            <w:pPr>
              <w:rPr>
                <w:rFonts w:ascii="Palatino Linotype" w:hAnsi="Palatino Linotype" w:cs="Times New Roman"/>
                <w:sz w:val="23"/>
                <w:szCs w:val="23"/>
              </w:rPr>
            </w:pPr>
          </w:p>
        </w:tc>
        <w:tc>
          <w:tcPr>
            <w:tcW w:w="689" w:type="dxa"/>
            <w:shd w:val="clear" w:color="auto" w:fill="DBE5F1" w:themeFill="accent1" w:themeFillTint="33"/>
            <w:textDirection w:val="btLr"/>
          </w:tcPr>
          <w:p w:rsidR="00AE4EEC" w:rsidRPr="00735A8F" w:rsidRDefault="00AE4EEC" w:rsidP="00993A5D">
            <w:pPr>
              <w:ind w:left="113" w:right="113"/>
              <w:rPr>
                <w:rFonts w:ascii="Palatino Linotype" w:hAnsi="Palatino Linotype" w:cs="Times New Roman"/>
                <w:sz w:val="20"/>
                <w:szCs w:val="20"/>
              </w:rPr>
            </w:pPr>
            <w:r w:rsidRPr="00735A8F">
              <w:rPr>
                <w:rFonts w:ascii="Palatino Linotype" w:hAnsi="Palatino Linotype" w:cs="Times New Roman"/>
                <w:sz w:val="20"/>
                <w:szCs w:val="20"/>
              </w:rPr>
              <w:t>Written Communication</w:t>
            </w:r>
          </w:p>
        </w:tc>
        <w:tc>
          <w:tcPr>
            <w:tcW w:w="689" w:type="dxa"/>
            <w:shd w:val="clear" w:color="auto" w:fill="DBE5F1" w:themeFill="accent1" w:themeFillTint="33"/>
            <w:textDirection w:val="btLr"/>
          </w:tcPr>
          <w:p w:rsidR="00AE4EEC" w:rsidRPr="00735A8F" w:rsidRDefault="00AE4EEC" w:rsidP="00993A5D">
            <w:pPr>
              <w:ind w:left="113" w:right="113"/>
              <w:rPr>
                <w:rFonts w:ascii="Palatino Linotype" w:hAnsi="Palatino Linotype" w:cs="Times New Roman"/>
                <w:sz w:val="20"/>
                <w:szCs w:val="20"/>
              </w:rPr>
            </w:pPr>
            <w:r w:rsidRPr="00735A8F">
              <w:rPr>
                <w:rFonts w:ascii="Palatino Linotype" w:hAnsi="Palatino Linotype" w:cs="Times New Roman"/>
                <w:sz w:val="20"/>
                <w:szCs w:val="20"/>
              </w:rPr>
              <w:t>Oral Communication</w:t>
            </w:r>
          </w:p>
        </w:tc>
        <w:tc>
          <w:tcPr>
            <w:tcW w:w="690" w:type="dxa"/>
            <w:shd w:val="clear" w:color="auto" w:fill="DBE5F1" w:themeFill="accent1" w:themeFillTint="33"/>
            <w:textDirection w:val="btLr"/>
          </w:tcPr>
          <w:p w:rsidR="00AE4EEC" w:rsidRPr="00735A8F" w:rsidRDefault="00AE4EEC" w:rsidP="00993A5D">
            <w:pPr>
              <w:ind w:left="113" w:right="113"/>
              <w:rPr>
                <w:rFonts w:ascii="Palatino Linotype" w:hAnsi="Palatino Linotype" w:cs="Times New Roman"/>
                <w:sz w:val="20"/>
                <w:szCs w:val="20"/>
              </w:rPr>
            </w:pPr>
            <w:r w:rsidRPr="00735A8F">
              <w:rPr>
                <w:rFonts w:ascii="Palatino Linotype" w:hAnsi="Palatino Linotype" w:cs="Times New Roman"/>
                <w:sz w:val="20"/>
                <w:szCs w:val="20"/>
              </w:rPr>
              <w:t>Information Literacy</w:t>
            </w:r>
          </w:p>
        </w:tc>
        <w:tc>
          <w:tcPr>
            <w:tcW w:w="690" w:type="dxa"/>
            <w:shd w:val="clear" w:color="auto" w:fill="DBE5F1" w:themeFill="accent1" w:themeFillTint="33"/>
            <w:textDirection w:val="btLr"/>
          </w:tcPr>
          <w:p w:rsidR="00AE4EEC" w:rsidRPr="00735A8F" w:rsidRDefault="00212D38" w:rsidP="00993A5D">
            <w:pPr>
              <w:ind w:left="113" w:right="113"/>
              <w:rPr>
                <w:rFonts w:ascii="Palatino Linotype" w:hAnsi="Palatino Linotype" w:cs="Times New Roman"/>
                <w:sz w:val="20"/>
                <w:szCs w:val="20"/>
              </w:rPr>
            </w:pPr>
            <w:r>
              <w:rPr>
                <w:rFonts w:ascii="Palatino Linotype" w:hAnsi="Palatino Linotype" w:cs="Times New Roman"/>
                <w:sz w:val="20"/>
                <w:szCs w:val="20"/>
              </w:rPr>
              <w:t>Technological</w:t>
            </w:r>
            <w:r w:rsidR="00AE4EEC" w:rsidRPr="00735A8F">
              <w:rPr>
                <w:rFonts w:ascii="Palatino Linotype" w:hAnsi="Palatino Linotype" w:cs="Times New Roman"/>
                <w:sz w:val="20"/>
                <w:szCs w:val="20"/>
              </w:rPr>
              <w:t xml:space="preserve">  Literacy</w:t>
            </w:r>
          </w:p>
        </w:tc>
        <w:tc>
          <w:tcPr>
            <w:tcW w:w="690" w:type="dxa"/>
            <w:shd w:val="clear" w:color="auto" w:fill="DBE5F1" w:themeFill="accent1" w:themeFillTint="33"/>
            <w:textDirection w:val="btLr"/>
          </w:tcPr>
          <w:p w:rsidR="00AE4EEC" w:rsidRPr="00735A8F" w:rsidRDefault="00AE4EEC" w:rsidP="00993A5D">
            <w:pPr>
              <w:ind w:left="113" w:right="113"/>
              <w:rPr>
                <w:rFonts w:ascii="Palatino Linotype" w:hAnsi="Palatino Linotype" w:cs="Times New Roman"/>
                <w:sz w:val="20"/>
                <w:szCs w:val="20"/>
              </w:rPr>
            </w:pPr>
            <w:r w:rsidRPr="00735A8F">
              <w:rPr>
                <w:rFonts w:ascii="Palatino Linotype" w:hAnsi="Palatino Linotype" w:cs="Times New Roman"/>
                <w:sz w:val="20"/>
                <w:szCs w:val="20"/>
              </w:rPr>
              <w:t>Quantitative Literacy</w:t>
            </w:r>
          </w:p>
        </w:tc>
        <w:tc>
          <w:tcPr>
            <w:tcW w:w="690" w:type="dxa"/>
            <w:shd w:val="clear" w:color="auto" w:fill="DBE5F1" w:themeFill="accent1" w:themeFillTint="33"/>
            <w:textDirection w:val="btLr"/>
          </w:tcPr>
          <w:p w:rsidR="00AE4EEC" w:rsidRPr="00735A8F" w:rsidRDefault="00AE4EEC" w:rsidP="00993A5D">
            <w:pPr>
              <w:ind w:left="113" w:right="113"/>
              <w:rPr>
                <w:rFonts w:ascii="Palatino Linotype" w:hAnsi="Palatino Linotype" w:cs="Times New Roman"/>
                <w:sz w:val="20"/>
                <w:szCs w:val="20"/>
              </w:rPr>
            </w:pPr>
            <w:r w:rsidRPr="00735A8F">
              <w:rPr>
                <w:rFonts w:ascii="Palatino Linotype" w:hAnsi="Palatino Linotype" w:cs="Times New Roman"/>
                <w:sz w:val="20"/>
                <w:szCs w:val="20"/>
              </w:rPr>
              <w:t>Global Understanding</w:t>
            </w:r>
          </w:p>
        </w:tc>
        <w:tc>
          <w:tcPr>
            <w:tcW w:w="690" w:type="dxa"/>
            <w:shd w:val="clear" w:color="auto" w:fill="DBE5F1" w:themeFill="accent1" w:themeFillTint="33"/>
            <w:textDirection w:val="btLr"/>
          </w:tcPr>
          <w:p w:rsidR="00AE4EEC" w:rsidRPr="00735A8F" w:rsidRDefault="00AE4EEC" w:rsidP="00993A5D">
            <w:pPr>
              <w:ind w:left="113" w:right="113"/>
              <w:rPr>
                <w:rFonts w:ascii="Palatino Linotype" w:hAnsi="Palatino Linotype" w:cs="Times New Roman"/>
                <w:sz w:val="20"/>
                <w:szCs w:val="20"/>
              </w:rPr>
            </w:pPr>
            <w:r w:rsidRPr="00735A8F">
              <w:rPr>
                <w:rFonts w:ascii="Palatino Linotype" w:hAnsi="Palatino Linotype" w:cs="Times New Roman"/>
                <w:sz w:val="20"/>
                <w:szCs w:val="20"/>
              </w:rPr>
              <w:t>Cultural Understanding</w:t>
            </w:r>
          </w:p>
        </w:tc>
        <w:tc>
          <w:tcPr>
            <w:tcW w:w="690" w:type="dxa"/>
            <w:shd w:val="clear" w:color="auto" w:fill="DBE5F1" w:themeFill="accent1" w:themeFillTint="33"/>
            <w:textDirection w:val="btLr"/>
          </w:tcPr>
          <w:p w:rsidR="00AE4EEC" w:rsidRPr="00735A8F" w:rsidRDefault="00AE4EEC" w:rsidP="00993A5D">
            <w:pPr>
              <w:ind w:left="113" w:right="113"/>
              <w:rPr>
                <w:rFonts w:ascii="Palatino Linotype" w:hAnsi="Palatino Linotype" w:cs="Times New Roman"/>
                <w:sz w:val="20"/>
                <w:szCs w:val="20"/>
              </w:rPr>
            </w:pPr>
            <w:r w:rsidRPr="00735A8F">
              <w:rPr>
                <w:rFonts w:ascii="Palatino Linotype" w:hAnsi="Palatino Linotype" w:cs="Times New Roman"/>
                <w:sz w:val="20"/>
                <w:szCs w:val="20"/>
              </w:rPr>
              <w:t>Critical Thinking</w:t>
            </w:r>
          </w:p>
        </w:tc>
        <w:tc>
          <w:tcPr>
            <w:tcW w:w="690" w:type="dxa"/>
            <w:shd w:val="clear" w:color="auto" w:fill="DBE5F1" w:themeFill="accent1" w:themeFillTint="33"/>
            <w:textDirection w:val="btLr"/>
          </w:tcPr>
          <w:p w:rsidR="00AE4EEC" w:rsidRPr="00735A8F" w:rsidRDefault="00AE4EEC" w:rsidP="00993A5D">
            <w:pPr>
              <w:ind w:left="113" w:right="113"/>
              <w:rPr>
                <w:rFonts w:ascii="Palatino Linotype" w:hAnsi="Palatino Linotype" w:cs="Times New Roman"/>
                <w:sz w:val="20"/>
                <w:szCs w:val="20"/>
              </w:rPr>
            </w:pPr>
            <w:r w:rsidRPr="00735A8F">
              <w:rPr>
                <w:rFonts w:ascii="Palatino Linotype" w:hAnsi="Palatino Linotype" w:cs="Times New Roman"/>
                <w:sz w:val="20"/>
                <w:szCs w:val="20"/>
              </w:rPr>
              <w:t>Scientific Analysis</w:t>
            </w:r>
          </w:p>
        </w:tc>
      </w:tr>
      <w:tr w:rsidR="00AE4EEC" w:rsidRPr="00735A8F" w:rsidTr="00735A8F">
        <w:trPr>
          <w:trHeight w:val="864"/>
        </w:trPr>
        <w:tc>
          <w:tcPr>
            <w:tcW w:w="3152" w:type="dxa"/>
            <w:shd w:val="clear" w:color="auto" w:fill="DBE5F1" w:themeFill="accent1" w:themeFillTint="33"/>
          </w:tcPr>
          <w:p w:rsidR="00AE4EEC" w:rsidRPr="00735A8F" w:rsidRDefault="00AE4EEC" w:rsidP="00993A5D">
            <w:pPr>
              <w:rPr>
                <w:rFonts w:ascii="Palatino Linotype" w:hAnsi="Palatino Linotype" w:cs="Times New Roman"/>
                <w:color w:val="000000"/>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r>
      <w:tr w:rsidR="00AE4EEC" w:rsidRPr="00735A8F" w:rsidTr="00735A8F">
        <w:trPr>
          <w:trHeight w:val="864"/>
        </w:trPr>
        <w:tc>
          <w:tcPr>
            <w:tcW w:w="3152" w:type="dxa"/>
            <w:shd w:val="clear" w:color="auto" w:fill="DBE5F1" w:themeFill="accent1" w:themeFillTint="33"/>
          </w:tcPr>
          <w:p w:rsidR="00AE4EEC" w:rsidRPr="00735A8F" w:rsidRDefault="00AE4EEC" w:rsidP="00993A5D">
            <w:pPr>
              <w:rPr>
                <w:rFonts w:ascii="Palatino Linotype" w:hAnsi="Palatino Linotype" w:cs="Times New Roman"/>
                <w:color w:val="000000"/>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r>
      <w:tr w:rsidR="00AE4EEC" w:rsidRPr="00735A8F" w:rsidTr="00735A8F">
        <w:trPr>
          <w:trHeight w:val="864"/>
        </w:trPr>
        <w:tc>
          <w:tcPr>
            <w:tcW w:w="3152" w:type="dxa"/>
            <w:shd w:val="clear" w:color="auto" w:fill="DBE5F1" w:themeFill="accent1" w:themeFillTint="33"/>
          </w:tcPr>
          <w:p w:rsidR="00AE4EEC" w:rsidRPr="00735A8F" w:rsidRDefault="00AE4EEC" w:rsidP="00993A5D">
            <w:pPr>
              <w:rPr>
                <w:rFonts w:ascii="Palatino Linotype" w:hAnsi="Palatino Linotype" w:cs="Times New Roman"/>
                <w:color w:val="000000"/>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r>
      <w:tr w:rsidR="00AE4EEC" w:rsidRPr="00735A8F" w:rsidTr="00735A8F">
        <w:trPr>
          <w:trHeight w:val="864"/>
        </w:trPr>
        <w:tc>
          <w:tcPr>
            <w:tcW w:w="3152" w:type="dxa"/>
            <w:shd w:val="clear" w:color="auto" w:fill="DBE5F1" w:themeFill="accent1" w:themeFillTint="33"/>
          </w:tcPr>
          <w:p w:rsidR="00AE4EEC" w:rsidRPr="00735A8F" w:rsidRDefault="00AE4EEC" w:rsidP="00993A5D">
            <w:pPr>
              <w:rPr>
                <w:rFonts w:ascii="Palatino Linotype" w:hAnsi="Palatino Linotype" w:cs="Times New Roman"/>
                <w:color w:val="000000"/>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r>
      <w:tr w:rsidR="00AE4EEC" w:rsidRPr="00735A8F" w:rsidTr="00735A8F">
        <w:trPr>
          <w:trHeight w:val="864"/>
        </w:trPr>
        <w:tc>
          <w:tcPr>
            <w:tcW w:w="3152" w:type="dxa"/>
            <w:shd w:val="clear" w:color="auto" w:fill="DBE5F1" w:themeFill="accent1" w:themeFillTint="33"/>
          </w:tcPr>
          <w:p w:rsidR="00AE4EEC" w:rsidRPr="00735A8F" w:rsidRDefault="00AE4EEC" w:rsidP="00993A5D">
            <w:pPr>
              <w:rPr>
                <w:rFonts w:ascii="Palatino Linotype" w:hAnsi="Palatino Linotype" w:cs="Times New Roman"/>
                <w:color w:val="000000"/>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r>
      <w:tr w:rsidR="00AE4EEC" w:rsidRPr="00735A8F" w:rsidTr="00735A8F">
        <w:trPr>
          <w:trHeight w:val="864"/>
        </w:trPr>
        <w:tc>
          <w:tcPr>
            <w:tcW w:w="3152" w:type="dxa"/>
            <w:shd w:val="clear" w:color="auto" w:fill="DBE5F1" w:themeFill="accent1" w:themeFillTint="33"/>
          </w:tcPr>
          <w:p w:rsidR="00AE4EEC" w:rsidRPr="00735A8F" w:rsidRDefault="00AE4EEC" w:rsidP="00993A5D">
            <w:pPr>
              <w:rPr>
                <w:rFonts w:ascii="Palatino Linotype" w:hAnsi="Palatino Linotype" w:cs="Times New Roman"/>
                <w:color w:val="000000"/>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89"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c>
          <w:tcPr>
            <w:tcW w:w="690" w:type="dxa"/>
          </w:tcPr>
          <w:p w:rsidR="00AE4EEC" w:rsidRPr="00735A8F" w:rsidRDefault="00AE4EEC" w:rsidP="00993A5D">
            <w:pPr>
              <w:rPr>
                <w:rFonts w:ascii="Palatino Linotype" w:hAnsi="Palatino Linotype" w:cs="Times New Roman"/>
                <w:sz w:val="23"/>
                <w:szCs w:val="23"/>
              </w:rPr>
            </w:pPr>
          </w:p>
        </w:tc>
      </w:tr>
    </w:tbl>
    <w:p w:rsidR="00212D38" w:rsidRDefault="00212D38">
      <w:pPr>
        <w:rPr>
          <w:rFonts w:ascii="Palatino Linotype" w:hAnsi="Palatino Linotype" w:cs="Times New Roman"/>
          <w:sz w:val="23"/>
          <w:szCs w:val="23"/>
        </w:rPr>
      </w:pPr>
    </w:p>
    <w:p w:rsidR="00212D38" w:rsidRPr="00212D38" w:rsidRDefault="00212D38" w:rsidP="00212D38">
      <w:pPr>
        <w:spacing w:after="180"/>
        <w:jc w:val="center"/>
        <w:rPr>
          <w:rFonts w:ascii="Palatino Linotype" w:hAnsi="Palatino Linotype" w:cs="Times New Roman"/>
          <w:b/>
          <w:color w:val="000000"/>
          <w:sz w:val="23"/>
          <w:szCs w:val="23"/>
        </w:rPr>
      </w:pPr>
      <w:r>
        <w:rPr>
          <w:rFonts w:ascii="Palatino Linotype" w:hAnsi="Palatino Linotype" w:cs="Times New Roman"/>
          <w:sz w:val="23"/>
          <w:szCs w:val="23"/>
        </w:rPr>
        <w:br w:type="page"/>
      </w:r>
      <w:r w:rsidRPr="00212D38">
        <w:rPr>
          <w:rFonts w:ascii="Palatino Linotype" w:hAnsi="Palatino Linotype" w:cs="Times New Roman"/>
          <w:b/>
          <w:color w:val="000000"/>
          <w:sz w:val="23"/>
          <w:szCs w:val="23"/>
        </w:rPr>
        <w:lastRenderedPageBreak/>
        <w:t>FDU Learning Outcomes</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Written Communication</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 xml:space="preserve">FDU graduates will be able to write documents that present and evaluate information and opinion in a logical and analytic manner, incorporating research and documentation, and using style, grammar, mechanics, and format appropriate to an educated audience. </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Oral Communication</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 xml:space="preserve">FDU graduates will be able to prepare and deliver effective oral presentations, incorporating suitable research and using presentation software, in a style appropriate to an educated audience. </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Information Literacy</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FDU graduates will be able to prepare carry out thorough and effective information search strategies using traditional print, digital, and Internet sources, evaluate information accessed, and use this information along with existing knowledge to create something new.</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Technological Literacy</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FDU graduates will be able to use technology as a learning and communication tool that enhances productivity and professional practice.</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Quantitative Literacy</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 xml:space="preserve">FDU graduates will be able to analyze and interpret quantitative information, and apply mathematical methods in solving problems encountered by an educated adult in daily life and within a field of study. </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Global Understanding</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FDU graduates will be able to analyze important current global issues from multiple viewpoints, with an understanding of the inter-connectedness of political, economic, environmental and social systems.</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Cultural Understanding</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FDU graduates will be able to understand and appreciate multiple cultures and global issues from historical, ethical and moral perspectives.</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Critical Thinking</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FDU graduates will be able to demonstrate competency in critical thinking that encompasses dimensions of informal (natural language) logic and ethical analysis.</w:t>
      </w:r>
    </w:p>
    <w:p w:rsidR="00212D38" w:rsidRPr="00212D38" w:rsidRDefault="00212D38" w:rsidP="00212D38">
      <w:pPr>
        <w:autoSpaceDE w:val="0"/>
        <w:autoSpaceDN w:val="0"/>
        <w:adjustRightInd w:val="0"/>
        <w:spacing w:after="180" w:line="240" w:lineRule="auto"/>
        <w:ind w:left="-180" w:right="-144"/>
        <w:rPr>
          <w:rFonts w:ascii="Palatino Linotype" w:hAnsi="Palatino Linotype" w:cs="PalatinoLinotype-Roman"/>
          <w:b/>
        </w:rPr>
      </w:pPr>
      <w:r w:rsidRPr="00212D38">
        <w:rPr>
          <w:rFonts w:ascii="Palatino Linotype" w:hAnsi="Palatino Linotype" w:cs="PalatinoLinotype-Roman"/>
          <w:b/>
        </w:rPr>
        <w:t>Scientific Analysis</w:t>
      </w:r>
    </w:p>
    <w:p w:rsidR="00B3037B" w:rsidRPr="00212D38" w:rsidRDefault="00212D38" w:rsidP="00212D38">
      <w:pPr>
        <w:autoSpaceDE w:val="0"/>
        <w:autoSpaceDN w:val="0"/>
        <w:adjustRightInd w:val="0"/>
        <w:spacing w:after="180" w:line="240" w:lineRule="auto"/>
        <w:ind w:left="-180" w:right="-144"/>
        <w:rPr>
          <w:rFonts w:ascii="Palatino Linotype" w:hAnsi="Palatino Linotype" w:cs="PalatinoLinotype-Roman"/>
        </w:rPr>
      </w:pPr>
      <w:r w:rsidRPr="00212D38">
        <w:rPr>
          <w:rFonts w:ascii="Palatino Linotype" w:hAnsi="Palatino Linotype" w:cs="PalatinoLinotype-Roman"/>
        </w:rPr>
        <w:t>FDU graduates will be able to explain and summarize the scientific world view, explain and apply the scientific method of inquiry, and explain the nature of the scientific enterprise specific to at least one scientific content discipline.</w:t>
      </w:r>
    </w:p>
    <w:sectPr w:rsidR="00B3037B" w:rsidRPr="00212D38" w:rsidSect="00735A8F">
      <w:pgSz w:w="12240" w:h="15840"/>
      <w:pgMar w:top="1080" w:right="158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73" w:rsidRDefault="004D2273" w:rsidP="00D62D6B">
      <w:pPr>
        <w:spacing w:after="0" w:line="240" w:lineRule="auto"/>
      </w:pPr>
      <w:r>
        <w:separator/>
      </w:r>
    </w:p>
  </w:endnote>
  <w:endnote w:type="continuationSeparator" w:id="0">
    <w:p w:rsidR="004D2273" w:rsidRDefault="004D2273" w:rsidP="00D6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73" w:rsidRDefault="004D2273" w:rsidP="00D62D6B">
      <w:pPr>
        <w:spacing w:after="0" w:line="240" w:lineRule="auto"/>
      </w:pPr>
      <w:r>
        <w:separator/>
      </w:r>
    </w:p>
  </w:footnote>
  <w:footnote w:type="continuationSeparator" w:id="0">
    <w:p w:rsidR="004D2273" w:rsidRDefault="004D2273" w:rsidP="00D62D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7B"/>
    <w:rsid w:val="00212D38"/>
    <w:rsid w:val="004D2273"/>
    <w:rsid w:val="00735A8F"/>
    <w:rsid w:val="00AE4EEC"/>
    <w:rsid w:val="00B3037B"/>
    <w:rsid w:val="00BB7909"/>
    <w:rsid w:val="00BD13A3"/>
    <w:rsid w:val="00D57C4A"/>
    <w:rsid w:val="00D62D6B"/>
    <w:rsid w:val="00DD24B5"/>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D6B"/>
  </w:style>
  <w:style w:type="paragraph" w:styleId="Footer">
    <w:name w:val="footer"/>
    <w:basedOn w:val="Normal"/>
    <w:link w:val="FooterChar"/>
    <w:uiPriority w:val="99"/>
    <w:unhideWhenUsed/>
    <w:rsid w:val="00D62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D6B"/>
  </w:style>
  <w:style w:type="paragraph" w:styleId="BalloonText">
    <w:name w:val="Balloon Text"/>
    <w:basedOn w:val="Normal"/>
    <w:link w:val="BalloonTextChar"/>
    <w:uiPriority w:val="99"/>
    <w:semiHidden/>
    <w:unhideWhenUsed/>
    <w:rsid w:val="00212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D6B"/>
  </w:style>
  <w:style w:type="paragraph" w:styleId="Footer">
    <w:name w:val="footer"/>
    <w:basedOn w:val="Normal"/>
    <w:link w:val="FooterChar"/>
    <w:uiPriority w:val="99"/>
    <w:unhideWhenUsed/>
    <w:rsid w:val="00D62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D6B"/>
  </w:style>
  <w:style w:type="paragraph" w:styleId="BalloonText">
    <w:name w:val="Balloon Text"/>
    <w:basedOn w:val="Normal"/>
    <w:link w:val="BalloonTextChar"/>
    <w:uiPriority w:val="99"/>
    <w:semiHidden/>
    <w:unhideWhenUsed/>
    <w:rsid w:val="00212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CD2D-6DC9-4288-9CAC-929C92F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Fairleigh Dickinson University</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Kelley</dc:creator>
  <cp:lastModifiedBy>FDU User</cp:lastModifiedBy>
  <cp:revision>2</cp:revision>
  <cp:lastPrinted>2013-11-04T17:38:00Z</cp:lastPrinted>
  <dcterms:created xsi:type="dcterms:W3CDTF">2015-09-15T15:02:00Z</dcterms:created>
  <dcterms:modified xsi:type="dcterms:W3CDTF">2015-09-15T15:02:00Z</dcterms:modified>
</cp:coreProperties>
</file>